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600" w:lineRule="exact"/>
        <w:jc w:val="center"/>
        <w:rPr>
          <w:rFonts w:hint="eastAsia" w:ascii="方正小标宋简体" w:hAnsi="方正小标宋简体" w:eastAsia="方正小标宋简体" w:cs="方正小标宋简体"/>
          <w:color w:val="auto"/>
          <w:sz w:val="44"/>
          <w:szCs w:val="44"/>
          <w:highlight w:val="none"/>
        </w:rPr>
      </w:pPr>
      <w:bookmarkStart w:id="0" w:name="_GoBack"/>
      <w:bookmarkEnd w:id="0"/>
    </w:p>
    <w:p>
      <w:pPr>
        <w:pStyle w:val="9"/>
        <w:spacing w:before="0" w:beforeAutospacing="0" w:after="0" w:afterAutospacing="0" w:line="60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呼和浩特市新能源汽车</w:t>
      </w:r>
    </w:p>
    <w:p>
      <w:pPr>
        <w:pStyle w:val="9"/>
        <w:spacing w:before="0" w:beforeAutospacing="0" w:after="0" w:afterAutospacing="0" w:line="60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推广应用和产业高质量发展</w:t>
      </w:r>
      <w:r>
        <w:rPr>
          <w:rFonts w:hint="eastAsia" w:ascii="方正小标宋简体" w:hAnsi="方正小标宋简体" w:eastAsia="方正小标宋简体" w:cs="方正小标宋简体"/>
          <w:color w:val="auto"/>
          <w:sz w:val="44"/>
          <w:szCs w:val="44"/>
          <w:highlight w:val="none"/>
          <w:lang w:eastAsia="zh-CN"/>
        </w:rPr>
        <w:t>实施</w:t>
      </w:r>
      <w:r>
        <w:rPr>
          <w:rFonts w:hint="eastAsia" w:ascii="方正小标宋简体" w:hAnsi="方正小标宋简体" w:eastAsia="方正小标宋简体" w:cs="方正小标宋简体"/>
          <w:color w:val="auto"/>
          <w:sz w:val="44"/>
          <w:szCs w:val="44"/>
          <w:highlight w:val="none"/>
        </w:rPr>
        <w:t>方案</w:t>
      </w:r>
    </w:p>
    <w:p>
      <w:pPr>
        <w:pStyle w:val="9"/>
        <w:spacing w:before="0" w:beforeAutospacing="0" w:after="0" w:afterAutospacing="0"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—2025年）</w:t>
      </w:r>
    </w:p>
    <w:p>
      <w:pPr>
        <w:pStyle w:val="9"/>
        <w:spacing w:before="0" w:beforeAutospacing="0" w:after="0" w:afterAutospacing="0"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（征求意见稿）</w:t>
      </w:r>
    </w:p>
    <w:p>
      <w:pPr>
        <w:pStyle w:val="9"/>
        <w:spacing w:before="0" w:beforeAutospacing="0" w:after="0" w:afterAutospacing="0" w:line="600" w:lineRule="exact"/>
        <w:ind w:firstLine="640" w:firstLineChars="200"/>
        <w:jc w:val="both"/>
        <w:rPr>
          <w:rFonts w:ascii="仿宋" w:hAnsi="仿宋" w:eastAsia="仿宋"/>
          <w:color w:val="auto"/>
          <w:sz w:val="32"/>
          <w:szCs w:val="32"/>
          <w:highlight w:val="none"/>
        </w:rPr>
      </w:pPr>
    </w:p>
    <w:p>
      <w:pPr>
        <w:pStyle w:val="9"/>
        <w:spacing w:before="0" w:beforeAutospacing="0" w:after="0" w:afterAutospacing="0" w:line="600" w:lineRule="exact"/>
        <w:ind w:firstLine="640" w:firstLineChars="200"/>
        <w:jc w:val="both"/>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为全面贯彻落实</w:t>
      </w:r>
      <w:r>
        <w:rPr>
          <w:rFonts w:hint="eastAsia" w:ascii="仿宋" w:hAnsi="仿宋" w:eastAsia="仿宋" w:cs="宋体"/>
          <w:color w:val="auto"/>
          <w:sz w:val="32"/>
          <w:szCs w:val="32"/>
          <w:highlight w:val="none"/>
          <w:lang w:eastAsia="zh-CN"/>
        </w:rPr>
        <w:t>《国务院办公厅</w:t>
      </w:r>
      <w:r>
        <w:rPr>
          <w:rFonts w:hint="eastAsia" w:ascii="仿宋" w:hAnsi="仿宋" w:eastAsia="仿宋" w:cs="宋体"/>
          <w:color w:val="auto"/>
          <w:sz w:val="32"/>
          <w:szCs w:val="32"/>
          <w:highlight w:val="none"/>
          <w:lang w:val="en-US" w:eastAsia="zh-CN"/>
        </w:rPr>
        <w:t>关于印发新能源汽车产业发展规划（2021—2035年）的通知</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lang w:val="en-US" w:eastAsia="zh-CN"/>
        </w:rPr>
        <w:t>（国办发〔2020〕39号）精神，促进我市新能源汽车推广应用和产业高质量发展，按照内蒙古自治区新能源汽车产业及推广应用工作领导小组办公室《2023年自治区新能源汽车产业发展工作要点》（内推办〔2023〕1号），</w:t>
      </w:r>
      <w:r>
        <w:rPr>
          <w:rFonts w:hint="eastAsia" w:ascii="仿宋" w:hAnsi="仿宋" w:eastAsia="仿宋" w:cs="宋体"/>
          <w:color w:val="auto"/>
          <w:sz w:val="32"/>
          <w:szCs w:val="32"/>
          <w:highlight w:val="none"/>
          <w:lang w:eastAsia="zh-CN"/>
        </w:rPr>
        <w:t>结合我市实际</w:t>
      </w:r>
      <w:r>
        <w:rPr>
          <w:rFonts w:hint="eastAsia" w:ascii="仿宋" w:hAnsi="仿宋" w:eastAsia="仿宋" w:cs="宋体"/>
          <w:color w:val="auto"/>
          <w:sz w:val="32"/>
          <w:szCs w:val="32"/>
          <w:highlight w:val="none"/>
        </w:rPr>
        <w:t>，制定本方案。</w:t>
      </w:r>
    </w:p>
    <w:p>
      <w:pPr>
        <w:pStyle w:val="9"/>
        <w:spacing w:before="0" w:beforeAutospacing="0" w:after="0" w:afterAutospacing="0" w:line="600" w:lineRule="exact"/>
        <w:ind w:firstLine="640" w:firstLineChars="200"/>
        <w:jc w:val="both"/>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rPr>
        <w:t>一、总体</w:t>
      </w:r>
      <w:r>
        <w:rPr>
          <w:rFonts w:hint="eastAsia" w:ascii="方正黑体_GBK" w:hAnsi="方正黑体_GBK" w:eastAsia="方正黑体_GBK" w:cs="方正黑体_GBK"/>
          <w:color w:val="auto"/>
          <w:sz w:val="32"/>
          <w:szCs w:val="32"/>
          <w:highlight w:val="none"/>
          <w:lang w:eastAsia="zh-CN"/>
        </w:rPr>
        <w:t>思路</w:t>
      </w:r>
    </w:p>
    <w:p>
      <w:pPr>
        <w:pStyle w:val="9"/>
        <w:spacing w:before="0" w:beforeAutospacing="0" w:after="0" w:afterAutospacing="0" w:line="600" w:lineRule="exact"/>
        <w:ind w:firstLine="640" w:firstLineChars="200"/>
        <w:jc w:val="both"/>
        <w:rPr>
          <w:rFonts w:hint="eastAsia" w:ascii="仿宋" w:hAnsi="仿宋" w:eastAsia="仿宋"/>
          <w:color w:val="auto"/>
          <w:sz w:val="32"/>
          <w:szCs w:val="32"/>
          <w:highlight w:val="none"/>
          <w:lang w:val="en-US" w:eastAsia="zh-CN"/>
        </w:rPr>
      </w:pPr>
      <w:r>
        <w:rPr>
          <w:rFonts w:hint="default" w:ascii="仿宋" w:hAnsi="仿宋" w:eastAsia="仿宋" w:cs="宋体"/>
          <w:color w:val="auto"/>
          <w:sz w:val="32"/>
          <w:szCs w:val="32"/>
          <w:highlight w:val="none"/>
          <w:lang w:val="en-US" w:eastAsia="zh-CN"/>
        </w:rPr>
        <w:t>以习近平新时代中国特色社会主义思想为指导，</w:t>
      </w:r>
      <w:r>
        <w:rPr>
          <w:rFonts w:hint="eastAsia" w:ascii="仿宋" w:hAnsi="仿宋" w:eastAsia="仿宋" w:cs="宋体"/>
          <w:color w:val="auto"/>
          <w:sz w:val="32"/>
          <w:szCs w:val="32"/>
          <w:highlight w:val="none"/>
          <w:lang w:val="en-US" w:eastAsia="zh-CN"/>
        </w:rPr>
        <w:t>深入学习</w:t>
      </w:r>
      <w:r>
        <w:rPr>
          <w:rFonts w:hint="default" w:ascii="仿宋" w:hAnsi="仿宋" w:eastAsia="仿宋" w:cs="宋体"/>
          <w:color w:val="auto"/>
          <w:sz w:val="32"/>
          <w:szCs w:val="32"/>
          <w:highlight w:val="none"/>
          <w:lang w:val="en-US" w:eastAsia="zh-CN"/>
        </w:rPr>
        <w:t>贯彻党的二十大精神，</w:t>
      </w:r>
      <w:r>
        <w:rPr>
          <w:rFonts w:hint="eastAsia" w:ascii="仿宋" w:hAnsi="仿宋" w:eastAsia="仿宋" w:cs="宋体"/>
          <w:color w:val="auto"/>
          <w:sz w:val="32"/>
          <w:szCs w:val="32"/>
          <w:highlight w:val="none"/>
          <w:lang w:val="en-US" w:eastAsia="zh-CN"/>
        </w:rPr>
        <w:t>认真</w:t>
      </w:r>
      <w:r>
        <w:rPr>
          <w:rFonts w:hint="default" w:ascii="仿宋" w:hAnsi="仿宋" w:eastAsia="仿宋" w:cs="宋体"/>
          <w:color w:val="auto"/>
          <w:sz w:val="32"/>
          <w:szCs w:val="32"/>
          <w:highlight w:val="none"/>
          <w:lang w:val="en-US" w:eastAsia="zh-CN"/>
        </w:rPr>
        <w:t>贯彻</w:t>
      </w:r>
      <w:r>
        <w:rPr>
          <w:rFonts w:hint="eastAsia" w:ascii="仿宋" w:hAnsi="仿宋" w:eastAsia="仿宋" w:cs="宋体"/>
          <w:color w:val="auto"/>
          <w:sz w:val="32"/>
          <w:szCs w:val="32"/>
          <w:highlight w:val="none"/>
          <w:lang w:val="en-US" w:eastAsia="zh-CN"/>
        </w:rPr>
        <w:t>落实</w:t>
      </w:r>
      <w:r>
        <w:rPr>
          <w:rFonts w:hint="default" w:ascii="仿宋" w:hAnsi="仿宋" w:eastAsia="仿宋" w:cs="宋体"/>
          <w:color w:val="auto"/>
          <w:sz w:val="32"/>
          <w:szCs w:val="32"/>
          <w:highlight w:val="none"/>
          <w:lang w:val="en-US" w:eastAsia="zh-CN"/>
        </w:rPr>
        <w:t>习近平总书记对内蒙古的重要讲话精神，紧紧围绕习近平总书记交给内蒙古的“五大任务”，</w:t>
      </w:r>
      <w:r>
        <w:rPr>
          <w:rFonts w:hint="eastAsia" w:ascii="仿宋" w:hAnsi="仿宋" w:eastAsia="仿宋" w:cs="宋体"/>
          <w:color w:val="auto"/>
          <w:sz w:val="32"/>
          <w:szCs w:val="32"/>
          <w:highlight w:val="none"/>
          <w:lang w:val="en-US" w:eastAsia="zh-CN"/>
        </w:rPr>
        <w:t>面向碳达峰、碳中和目标，大力发展绿色消费、积极倡导绿色低碳交通、全面支持新能源汽车产业高质量发展，以市场驱动带动消费预期、以重点领域示范促进市场消费深度拓展，重点在重卡和公共领域车辆实施电动化示范先行，全面推动我市社会车辆实现新能源汽车替代，带动新能源汽车产业高质量创新发展。</w:t>
      </w:r>
    </w:p>
    <w:p>
      <w:pPr>
        <w:pStyle w:val="9"/>
        <w:spacing w:before="0" w:beforeAutospacing="0" w:after="0" w:afterAutospacing="0" w:line="600" w:lineRule="exact"/>
        <w:ind w:firstLine="640" w:firstLineChars="200"/>
        <w:jc w:val="both"/>
        <w:rPr>
          <w:rFonts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二、主要目标</w:t>
      </w:r>
    </w:p>
    <w:p>
      <w:pPr>
        <w:pStyle w:val="9"/>
        <w:spacing w:before="0" w:beforeAutospacing="0" w:after="0" w:afterAutospacing="0" w:line="600" w:lineRule="exact"/>
        <w:ind w:firstLine="640" w:firstLineChars="200"/>
        <w:jc w:val="both"/>
        <w:rPr>
          <w:rFonts w:hint="eastAsia" w:ascii="仿宋" w:hAnsi="仿宋" w:eastAsia="仿宋" w:cs="宋体"/>
          <w:color w:val="auto"/>
          <w:sz w:val="32"/>
          <w:szCs w:val="32"/>
          <w:highlight w:val="none"/>
          <w:lang w:val="en-US" w:eastAsia="zh-CN"/>
        </w:rPr>
      </w:pPr>
      <w:r>
        <w:rPr>
          <w:rFonts w:hint="eastAsia" w:ascii="仿宋" w:hAnsi="仿宋" w:eastAsia="仿宋" w:cs="宋体"/>
          <w:color w:val="auto"/>
          <w:sz w:val="32"/>
          <w:szCs w:val="32"/>
          <w:highlight w:val="none"/>
          <w:lang w:val="en-US" w:eastAsia="zh-CN"/>
        </w:rPr>
        <w:t>到2025年，新能源汽车新车渗透率达到20%以上，全市登记注册的新能源汽车保有量达到6万辆左右，累计建成充电桩2万个、换电站桩60座，因地制宜配建“光储充放”“充换电”一体化智能多功能站，车桩比达到3：1，基本满足新能源汽车充换电服务需求。新能源汽车产业带动新能源消费框架基本形成，新能源汽车专用车和挂车、新能源汽车零部件、储能电池及其配套部件形成集聚，推动新能源汽车与能源、交通、信息通信等产业融合发展。</w:t>
      </w:r>
    </w:p>
    <w:p>
      <w:pPr>
        <w:pStyle w:val="9"/>
        <w:spacing w:before="0" w:beforeAutospacing="0" w:after="0" w:afterAutospacing="0" w:line="600" w:lineRule="exact"/>
        <w:ind w:firstLine="640" w:firstLineChars="200"/>
        <w:jc w:val="both"/>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三、重点任务</w:t>
      </w:r>
    </w:p>
    <w:p>
      <w:pPr>
        <w:pStyle w:val="9"/>
        <w:spacing w:before="0" w:beforeAutospacing="0" w:after="0" w:afterAutospacing="0" w:line="600" w:lineRule="exact"/>
        <w:ind w:firstLine="640" w:firstLineChars="200"/>
        <w:jc w:val="both"/>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（一）全面推动</w:t>
      </w:r>
      <w:r>
        <w:rPr>
          <w:rFonts w:hint="eastAsia" w:ascii="方正楷体_GBK" w:hAnsi="方正楷体_GBK" w:eastAsia="方正楷体_GBK" w:cs="方正楷体_GBK"/>
          <w:color w:val="auto"/>
          <w:sz w:val="32"/>
          <w:szCs w:val="32"/>
          <w:highlight w:val="none"/>
          <w:lang w:val="en-US" w:eastAsia="zh-CN"/>
        </w:rPr>
        <w:t>公共领域车辆电动化</w:t>
      </w:r>
    </w:p>
    <w:p>
      <w:pPr>
        <w:pStyle w:val="9"/>
        <w:spacing w:before="0" w:beforeAutospacing="0" w:after="0" w:afterAutospacing="0" w:line="600" w:lineRule="exact"/>
        <w:ind w:firstLine="640" w:firstLineChars="200"/>
        <w:jc w:val="both"/>
        <w:rPr>
          <w:rFonts w:hint="eastAsia" w:ascii="仿宋" w:hAnsi="仿宋" w:eastAsia="仿宋" w:cs="宋体"/>
          <w:color w:val="auto"/>
          <w:sz w:val="32"/>
          <w:szCs w:val="32"/>
          <w:highlight w:val="none"/>
          <w:lang w:val="en-US" w:eastAsia="zh-CN"/>
        </w:rPr>
      </w:pPr>
      <w:r>
        <w:rPr>
          <w:rFonts w:hint="eastAsia" w:ascii="仿宋" w:hAnsi="仿宋" w:eastAsia="仿宋" w:cs="宋体"/>
          <w:color w:val="auto"/>
          <w:sz w:val="32"/>
          <w:szCs w:val="32"/>
          <w:highlight w:val="none"/>
          <w:lang w:val="en-US" w:eastAsia="zh-CN"/>
        </w:rPr>
        <w:t>2023年起，在继续保持和支持公交领域新增或更新车辆新能源汽车占比100%的基础上，全市各级全部或部分使用财政拨款的党政机关、事业单位新增及更新车辆指标应统一纳入新能源车辆推广应用管理体系，新增或更新车辆中新能源汽车占比不低于30%。到2025年，公务用车、出租车（巡游车和网约车）、环卫、邮政快递、城市物流配送、机场用车领域的电动化车辆推广应用力度进一步增强，新增和更新车辆的电动化率力争达到80%以上。</w:t>
      </w:r>
      <w:r>
        <w:rPr>
          <w:rFonts w:hint="default" w:ascii="仿宋" w:hAnsi="仿宋" w:eastAsia="仿宋" w:cs="宋体"/>
          <w:b/>
          <w:bCs/>
          <w:color w:val="auto"/>
          <w:sz w:val="32"/>
          <w:szCs w:val="32"/>
          <w:highlight w:val="none"/>
          <w:lang w:val="en-US" w:eastAsia="zh-CN"/>
        </w:rPr>
        <w:t>（市财政</w:t>
      </w:r>
      <w:r>
        <w:rPr>
          <w:rFonts w:hint="eastAsia" w:ascii="仿宋" w:hAnsi="仿宋" w:eastAsia="仿宋" w:cs="宋体"/>
          <w:b/>
          <w:bCs/>
          <w:color w:val="auto"/>
          <w:sz w:val="32"/>
          <w:szCs w:val="32"/>
          <w:highlight w:val="none"/>
          <w:lang w:val="en-US" w:eastAsia="zh-CN"/>
        </w:rPr>
        <w:t>、</w:t>
      </w:r>
      <w:r>
        <w:rPr>
          <w:rFonts w:hint="default" w:ascii="仿宋" w:hAnsi="仿宋" w:eastAsia="仿宋" w:cs="宋体"/>
          <w:b/>
          <w:bCs/>
          <w:color w:val="auto"/>
          <w:sz w:val="32"/>
          <w:szCs w:val="32"/>
          <w:highlight w:val="none"/>
          <w:lang w:val="en-US" w:eastAsia="zh-CN"/>
        </w:rPr>
        <w:t>交通运输、</w:t>
      </w:r>
      <w:r>
        <w:rPr>
          <w:rFonts w:hint="eastAsia" w:ascii="仿宋" w:hAnsi="仿宋" w:eastAsia="仿宋" w:cs="宋体"/>
          <w:b/>
          <w:bCs/>
          <w:color w:val="auto"/>
          <w:sz w:val="32"/>
          <w:szCs w:val="32"/>
          <w:highlight w:val="none"/>
          <w:lang w:val="en-US" w:eastAsia="zh-CN"/>
        </w:rPr>
        <w:t>商务、国资委、</w:t>
      </w:r>
      <w:r>
        <w:rPr>
          <w:rFonts w:hint="default" w:ascii="仿宋" w:hAnsi="仿宋" w:eastAsia="仿宋" w:cs="宋体"/>
          <w:b/>
          <w:bCs/>
          <w:color w:val="auto"/>
          <w:sz w:val="32"/>
          <w:szCs w:val="32"/>
          <w:highlight w:val="none"/>
          <w:lang w:val="en-US" w:eastAsia="zh-CN"/>
        </w:rPr>
        <w:t>机关事务局</w:t>
      </w:r>
      <w:r>
        <w:rPr>
          <w:rFonts w:hint="eastAsia" w:ascii="仿宋" w:hAnsi="仿宋" w:eastAsia="仿宋" w:cs="宋体"/>
          <w:b/>
          <w:bCs/>
          <w:color w:val="auto"/>
          <w:sz w:val="32"/>
          <w:szCs w:val="32"/>
          <w:highlight w:val="none"/>
          <w:lang w:val="en-US" w:eastAsia="zh-CN"/>
        </w:rPr>
        <w:t>，邮政管理局，呼和浩特白塔国际机场有限责任公司，旗县区政府、开发区管委会</w:t>
      </w:r>
      <w:r>
        <w:rPr>
          <w:rFonts w:hint="default" w:ascii="仿宋" w:hAnsi="仿宋" w:eastAsia="仿宋" w:cs="宋体"/>
          <w:b/>
          <w:bCs/>
          <w:color w:val="auto"/>
          <w:sz w:val="32"/>
          <w:szCs w:val="32"/>
          <w:highlight w:val="none"/>
          <w:lang w:val="en-US" w:eastAsia="zh-CN"/>
        </w:rPr>
        <w:t>分</w:t>
      </w:r>
      <w:r>
        <w:rPr>
          <w:rFonts w:hint="eastAsia" w:ascii="仿宋" w:hAnsi="仿宋" w:eastAsia="仿宋" w:cs="宋体"/>
          <w:b/>
          <w:bCs/>
          <w:color w:val="auto"/>
          <w:sz w:val="32"/>
          <w:szCs w:val="32"/>
          <w:highlight w:val="none"/>
          <w:lang w:val="en-US" w:eastAsia="zh-CN"/>
        </w:rPr>
        <w:t>工</w:t>
      </w:r>
      <w:r>
        <w:rPr>
          <w:rFonts w:hint="default" w:ascii="仿宋" w:hAnsi="仿宋" w:eastAsia="仿宋" w:cs="宋体"/>
          <w:b/>
          <w:bCs/>
          <w:color w:val="auto"/>
          <w:sz w:val="32"/>
          <w:szCs w:val="32"/>
          <w:highlight w:val="none"/>
          <w:lang w:val="en-US" w:eastAsia="zh-CN"/>
        </w:rPr>
        <w:t>负责）</w:t>
      </w:r>
    </w:p>
    <w:p>
      <w:pPr>
        <w:pStyle w:val="9"/>
        <w:spacing w:before="0" w:beforeAutospacing="0" w:after="0" w:afterAutospacing="0" w:line="600" w:lineRule="exact"/>
        <w:ind w:firstLine="640" w:firstLineChars="200"/>
        <w:jc w:val="both"/>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（二）加快电动重卡在重点领域的推广应用力度</w:t>
      </w:r>
    </w:p>
    <w:p>
      <w:pPr>
        <w:pStyle w:val="9"/>
        <w:spacing w:before="0" w:beforeAutospacing="0" w:after="0" w:afterAutospacing="0" w:line="600" w:lineRule="exact"/>
        <w:ind w:firstLine="640" w:firstLineChars="200"/>
        <w:jc w:val="both"/>
        <w:rPr>
          <w:rFonts w:hint="default" w:ascii="仿宋" w:hAnsi="仿宋" w:eastAsia="仿宋" w:cs="宋体"/>
          <w:b/>
          <w:bCs/>
          <w:color w:val="auto"/>
          <w:sz w:val="32"/>
          <w:szCs w:val="32"/>
          <w:highlight w:val="none"/>
          <w:lang w:val="en-US" w:eastAsia="zh-CN"/>
        </w:rPr>
      </w:pPr>
      <w:r>
        <w:rPr>
          <w:rFonts w:hint="eastAsia" w:ascii="仿宋" w:hAnsi="仿宋" w:eastAsia="仿宋" w:cs="宋体"/>
          <w:color w:val="auto"/>
          <w:sz w:val="32"/>
          <w:szCs w:val="32"/>
          <w:highlight w:val="none"/>
          <w:lang w:val="en-US" w:eastAsia="zh-CN"/>
        </w:rPr>
        <w:t>落实《内蒙古自治区电动重卡推广方案》（内工信装工字〔2022〕431号），力争全市“十四五”期间推广应用电动重卡12000辆，建立电煤零碳运输示范线，推行一体化投运营新模式，逐步实施绿区设置，强化对国Ⅳ及以下运煤车辆的淘汰举措，鼓励国Ⅳ及以上的标准燃油车辆更新更换新能源汽车，鼓励驻地央企、国企和属地龙头企业带头推广应用电动重卡，支持民营资本参与电动重卡的推广应用和综合运维。</w:t>
      </w:r>
      <w:r>
        <w:rPr>
          <w:rFonts w:hint="default" w:ascii="仿宋" w:hAnsi="仿宋" w:eastAsia="仿宋" w:cs="宋体"/>
          <w:b/>
          <w:bCs/>
          <w:color w:val="auto"/>
          <w:sz w:val="32"/>
          <w:szCs w:val="32"/>
          <w:highlight w:val="none"/>
          <w:lang w:val="en-US" w:eastAsia="zh-CN"/>
        </w:rPr>
        <w:t>（市</w:t>
      </w:r>
      <w:r>
        <w:rPr>
          <w:rFonts w:hint="eastAsia" w:ascii="仿宋" w:hAnsi="仿宋" w:eastAsia="仿宋" w:cs="宋体"/>
          <w:b/>
          <w:bCs/>
          <w:color w:val="auto"/>
          <w:sz w:val="32"/>
          <w:szCs w:val="32"/>
          <w:highlight w:val="none"/>
          <w:lang w:val="en-US" w:eastAsia="zh-CN"/>
        </w:rPr>
        <w:t>工信、财政、生态环境、</w:t>
      </w:r>
      <w:r>
        <w:rPr>
          <w:rFonts w:hint="default" w:ascii="仿宋" w:hAnsi="仿宋" w:eastAsia="仿宋" w:cs="宋体"/>
          <w:b/>
          <w:bCs/>
          <w:color w:val="auto"/>
          <w:sz w:val="32"/>
          <w:szCs w:val="32"/>
          <w:highlight w:val="none"/>
          <w:lang w:val="en-US" w:eastAsia="zh-CN"/>
        </w:rPr>
        <w:t>交通运输、公安、</w:t>
      </w:r>
      <w:r>
        <w:rPr>
          <w:rFonts w:hint="eastAsia" w:ascii="仿宋" w:hAnsi="仿宋" w:eastAsia="仿宋" w:cs="宋体"/>
          <w:b/>
          <w:bCs/>
          <w:color w:val="auto"/>
          <w:sz w:val="32"/>
          <w:szCs w:val="32"/>
          <w:highlight w:val="none"/>
          <w:lang w:val="en-US" w:eastAsia="zh-CN"/>
        </w:rPr>
        <w:t>发改，旗县区政府、开发区管委会分工负责</w:t>
      </w:r>
      <w:r>
        <w:rPr>
          <w:rFonts w:hint="default" w:ascii="仿宋" w:hAnsi="仿宋" w:eastAsia="仿宋" w:cs="宋体"/>
          <w:b/>
          <w:bCs/>
          <w:color w:val="auto"/>
          <w:sz w:val="32"/>
          <w:szCs w:val="32"/>
          <w:highlight w:val="none"/>
          <w:lang w:val="en-US" w:eastAsia="zh-CN"/>
        </w:rPr>
        <w:t>）</w:t>
      </w:r>
    </w:p>
    <w:p>
      <w:pPr>
        <w:pStyle w:val="9"/>
        <w:spacing w:before="0" w:beforeAutospacing="0" w:after="0" w:afterAutospacing="0" w:line="600" w:lineRule="exact"/>
        <w:ind w:firstLine="640" w:firstLineChars="200"/>
        <w:jc w:val="both"/>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（三）鼓励社会车辆使用新能源汽车</w:t>
      </w:r>
    </w:p>
    <w:p>
      <w:pPr>
        <w:pStyle w:val="9"/>
        <w:spacing w:before="0" w:beforeAutospacing="0" w:after="0" w:afterAutospacing="0" w:line="600" w:lineRule="exact"/>
        <w:ind w:firstLine="640" w:firstLineChars="200"/>
        <w:jc w:val="both"/>
        <w:rPr>
          <w:rFonts w:hint="eastAsia" w:ascii="仿宋" w:hAnsi="仿宋" w:eastAsia="仿宋" w:cs="宋体"/>
          <w:b/>
          <w:bCs/>
          <w:color w:val="auto"/>
          <w:sz w:val="32"/>
          <w:szCs w:val="32"/>
          <w:highlight w:val="none"/>
          <w:lang w:val="en-US" w:eastAsia="zh-CN"/>
        </w:rPr>
      </w:pPr>
      <w:r>
        <w:rPr>
          <w:rFonts w:hint="eastAsia" w:ascii="仿宋" w:hAnsi="仿宋" w:eastAsia="仿宋" w:cs="宋体"/>
          <w:color w:val="auto"/>
          <w:sz w:val="32"/>
          <w:szCs w:val="32"/>
          <w:highlight w:val="none"/>
          <w:lang w:val="en-US" w:eastAsia="zh-CN"/>
        </w:rPr>
        <w:t>落实国家商务部等17部门印发的《关于搞活汽车流通 扩大汽车消费若干措施的通知》（商消费发〔2022〕92号），聚焦支持新能源汽车购买使用、活跃二手车市场、促进汽车更新消费、支持汽车平行进口、优化汽车使用环境、丰富汽车金融服务等领域，引导私人购买使用新能源汽车，</w:t>
      </w:r>
      <w:r>
        <w:rPr>
          <w:rFonts w:hint="default" w:ascii="仿宋" w:hAnsi="仿宋" w:eastAsia="仿宋" w:cs="宋体"/>
          <w:color w:val="auto"/>
          <w:sz w:val="32"/>
          <w:szCs w:val="32"/>
          <w:highlight w:val="none"/>
          <w:lang w:val="en-US" w:eastAsia="zh-CN"/>
        </w:rPr>
        <w:t>健全新能源乘用车市场流通机制，培育发展新能源二手车专业交易市场及鉴定估价机构，壮大市场交易能级。</w:t>
      </w:r>
      <w:r>
        <w:rPr>
          <w:rFonts w:hint="default" w:ascii="仿宋" w:hAnsi="仿宋" w:eastAsia="仿宋" w:cs="宋体"/>
          <w:b/>
          <w:bCs/>
          <w:color w:val="auto"/>
          <w:sz w:val="32"/>
          <w:szCs w:val="32"/>
          <w:highlight w:val="none"/>
          <w:lang w:val="en-US" w:eastAsia="zh-CN"/>
        </w:rPr>
        <w:t>（市商务、发改、</w:t>
      </w:r>
      <w:r>
        <w:rPr>
          <w:rFonts w:hint="eastAsia" w:ascii="仿宋" w:hAnsi="仿宋" w:eastAsia="仿宋" w:cs="宋体"/>
          <w:b/>
          <w:bCs/>
          <w:color w:val="auto"/>
          <w:sz w:val="32"/>
          <w:szCs w:val="32"/>
          <w:highlight w:val="none"/>
          <w:lang w:val="en-US" w:eastAsia="zh-CN"/>
        </w:rPr>
        <w:t>工信、公安、财政、自然资源、生态环境、住建、</w:t>
      </w:r>
      <w:r>
        <w:rPr>
          <w:rFonts w:hint="default" w:ascii="仿宋" w:hAnsi="仿宋" w:eastAsia="仿宋" w:cs="宋体"/>
          <w:b/>
          <w:bCs/>
          <w:color w:val="auto"/>
          <w:sz w:val="32"/>
          <w:szCs w:val="32"/>
          <w:highlight w:val="none"/>
          <w:lang w:val="en-US" w:eastAsia="zh-CN"/>
        </w:rPr>
        <w:t>交通运输</w:t>
      </w:r>
      <w:r>
        <w:rPr>
          <w:rFonts w:hint="eastAsia" w:ascii="仿宋" w:hAnsi="仿宋" w:eastAsia="仿宋" w:cs="宋体"/>
          <w:b/>
          <w:bCs/>
          <w:color w:val="auto"/>
          <w:sz w:val="32"/>
          <w:szCs w:val="32"/>
          <w:highlight w:val="none"/>
          <w:lang w:val="en-US" w:eastAsia="zh-CN"/>
        </w:rPr>
        <w:t>、文旅广电、市场监管、体育，市税务、赛罕海关、中国人民银行呼和浩特中心支行，旗县区政府、开发区管委会分工负责</w:t>
      </w:r>
      <w:r>
        <w:rPr>
          <w:rFonts w:hint="default" w:ascii="仿宋" w:hAnsi="仿宋" w:eastAsia="仿宋" w:cs="宋体"/>
          <w:b/>
          <w:bCs/>
          <w:color w:val="auto"/>
          <w:sz w:val="32"/>
          <w:szCs w:val="32"/>
          <w:highlight w:val="none"/>
          <w:lang w:val="en-US" w:eastAsia="zh-CN"/>
        </w:rPr>
        <w:t>）</w:t>
      </w:r>
    </w:p>
    <w:p>
      <w:pPr>
        <w:pStyle w:val="9"/>
        <w:spacing w:before="0" w:beforeAutospacing="0" w:after="0" w:afterAutospacing="0" w:line="600" w:lineRule="exact"/>
        <w:ind w:firstLine="640" w:firstLineChars="200"/>
        <w:jc w:val="both"/>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（四）加大</w:t>
      </w:r>
      <w:r>
        <w:rPr>
          <w:rFonts w:hint="default" w:ascii="方正楷体_GBK" w:hAnsi="方正楷体_GBK" w:eastAsia="方正楷体_GBK" w:cs="方正楷体_GBK"/>
          <w:color w:val="auto"/>
          <w:sz w:val="32"/>
          <w:szCs w:val="32"/>
          <w:highlight w:val="none"/>
          <w:lang w:eastAsia="zh-CN"/>
        </w:rPr>
        <w:t>新型新能源汽车充电基础设施建设</w:t>
      </w:r>
      <w:r>
        <w:rPr>
          <w:rFonts w:hint="eastAsia" w:ascii="方正楷体_GBK" w:hAnsi="方正楷体_GBK" w:eastAsia="方正楷体_GBK" w:cs="方正楷体_GBK"/>
          <w:color w:val="auto"/>
          <w:sz w:val="32"/>
          <w:szCs w:val="32"/>
          <w:highlight w:val="none"/>
          <w:lang w:eastAsia="zh-CN"/>
        </w:rPr>
        <w:t>力度</w:t>
      </w:r>
    </w:p>
    <w:p>
      <w:pPr>
        <w:pStyle w:val="9"/>
        <w:spacing w:before="0" w:beforeAutospacing="0" w:after="0" w:afterAutospacing="0" w:line="600" w:lineRule="exact"/>
        <w:ind w:firstLine="640" w:firstLineChars="200"/>
        <w:jc w:val="both"/>
        <w:rPr>
          <w:rFonts w:hint="eastAsia" w:ascii="仿宋" w:hAnsi="仿宋" w:eastAsia="仿宋" w:cs="宋体"/>
          <w:b/>
          <w:bCs/>
          <w:color w:val="auto"/>
          <w:sz w:val="32"/>
          <w:szCs w:val="32"/>
          <w:highlight w:val="none"/>
          <w:lang w:val="en-US" w:eastAsia="zh-CN"/>
        </w:rPr>
      </w:pPr>
      <w:r>
        <w:rPr>
          <w:rFonts w:hint="default" w:ascii="仿宋" w:hAnsi="仿宋" w:eastAsia="仿宋" w:cs="宋体"/>
          <w:color w:val="auto"/>
          <w:sz w:val="32"/>
          <w:szCs w:val="32"/>
          <w:highlight w:val="none"/>
          <w:lang w:val="en-US" w:eastAsia="zh-CN"/>
        </w:rPr>
        <w:t>加大</w:t>
      </w:r>
      <w:r>
        <w:rPr>
          <w:rFonts w:hint="eastAsia" w:ascii="仿宋" w:hAnsi="仿宋" w:eastAsia="仿宋" w:cs="宋体"/>
          <w:color w:val="auto"/>
          <w:sz w:val="32"/>
          <w:szCs w:val="32"/>
          <w:highlight w:val="none"/>
          <w:lang w:val="en-US" w:eastAsia="zh-CN"/>
        </w:rPr>
        <w:t>对场</w:t>
      </w:r>
      <w:r>
        <w:rPr>
          <w:rFonts w:hint="default" w:ascii="仿宋" w:hAnsi="仿宋" w:eastAsia="仿宋" w:cs="宋体"/>
          <w:color w:val="auto"/>
          <w:sz w:val="32"/>
          <w:szCs w:val="32"/>
          <w:highlight w:val="none"/>
          <w:lang w:val="en-US" w:eastAsia="zh-CN"/>
        </w:rPr>
        <w:t>地、电力供应</w:t>
      </w:r>
      <w:r>
        <w:rPr>
          <w:rFonts w:hint="eastAsia" w:ascii="仿宋" w:hAnsi="仿宋" w:eastAsia="仿宋" w:cs="宋体"/>
          <w:color w:val="auto"/>
          <w:sz w:val="32"/>
          <w:szCs w:val="32"/>
          <w:highlight w:val="none"/>
          <w:lang w:val="en-US" w:eastAsia="zh-CN"/>
        </w:rPr>
        <w:t>等领域的</w:t>
      </w:r>
      <w:r>
        <w:rPr>
          <w:rFonts w:hint="default" w:ascii="仿宋" w:hAnsi="仿宋" w:eastAsia="仿宋" w:cs="宋体"/>
          <w:color w:val="auto"/>
          <w:sz w:val="32"/>
          <w:szCs w:val="32"/>
          <w:highlight w:val="none"/>
          <w:lang w:val="en-US" w:eastAsia="zh-CN"/>
        </w:rPr>
        <w:t>保障力度，</w:t>
      </w:r>
      <w:r>
        <w:rPr>
          <w:rFonts w:hint="eastAsia" w:ascii="仿宋" w:hAnsi="仿宋" w:eastAsia="仿宋"/>
          <w:color w:val="000000"/>
          <w:sz w:val="32"/>
          <w:szCs w:val="32"/>
        </w:rPr>
        <w:t>推广应用高防护大功率充电系统、无线充电、自动充电机器人、智能调控、有序充电和小功率直流充电等创新技术</w:t>
      </w:r>
      <w:r>
        <w:rPr>
          <w:rFonts w:hint="default" w:ascii="仿宋" w:hAnsi="仿宋" w:eastAsia="仿宋" w:cs="宋体"/>
          <w:color w:val="auto"/>
          <w:sz w:val="32"/>
          <w:szCs w:val="32"/>
          <w:highlight w:val="none"/>
          <w:lang w:val="en-US" w:eastAsia="zh-CN"/>
        </w:rPr>
        <w:t>，加快规划布局建设一批新型新能源汽车充</w:t>
      </w:r>
      <w:r>
        <w:rPr>
          <w:rFonts w:hint="eastAsia" w:ascii="仿宋" w:hAnsi="仿宋" w:eastAsia="仿宋" w:cs="宋体"/>
          <w:color w:val="auto"/>
          <w:sz w:val="32"/>
          <w:szCs w:val="32"/>
          <w:highlight w:val="none"/>
          <w:lang w:val="en-US" w:eastAsia="zh-CN"/>
        </w:rPr>
        <w:t>换</w:t>
      </w:r>
      <w:r>
        <w:rPr>
          <w:rFonts w:hint="default" w:ascii="仿宋" w:hAnsi="仿宋" w:eastAsia="仿宋" w:cs="宋体"/>
          <w:color w:val="auto"/>
          <w:sz w:val="32"/>
          <w:szCs w:val="32"/>
          <w:highlight w:val="none"/>
          <w:lang w:val="en-US" w:eastAsia="zh-CN"/>
        </w:rPr>
        <w:t>电基础设施，推动原有设施提质增效。</w:t>
      </w:r>
      <w:r>
        <w:rPr>
          <w:rFonts w:hint="eastAsia" w:ascii="仿宋" w:hAnsi="仿宋" w:eastAsia="仿宋" w:cs="宋体"/>
          <w:color w:val="auto"/>
          <w:sz w:val="32"/>
          <w:szCs w:val="32"/>
          <w:highlight w:val="none"/>
          <w:lang w:val="en-US" w:eastAsia="zh-CN"/>
        </w:rPr>
        <w:t>推动</w:t>
      </w:r>
      <w:r>
        <w:rPr>
          <w:rFonts w:hint="default" w:ascii="仿宋" w:hAnsi="仿宋" w:eastAsia="仿宋" w:cs="宋体"/>
          <w:color w:val="auto"/>
          <w:sz w:val="32"/>
          <w:szCs w:val="32"/>
          <w:highlight w:val="none"/>
          <w:lang w:val="en-US" w:eastAsia="zh-CN"/>
        </w:rPr>
        <w:t>公共服务领域</w:t>
      </w:r>
      <w:r>
        <w:rPr>
          <w:rFonts w:hint="eastAsia" w:ascii="仿宋" w:hAnsi="仿宋" w:eastAsia="仿宋" w:cs="宋体"/>
          <w:color w:val="auto"/>
          <w:sz w:val="32"/>
          <w:szCs w:val="32"/>
          <w:highlight w:val="none"/>
          <w:lang w:val="en-US" w:eastAsia="zh-CN"/>
        </w:rPr>
        <w:t>加快完善</w:t>
      </w:r>
      <w:r>
        <w:rPr>
          <w:rFonts w:hint="default" w:ascii="仿宋" w:hAnsi="仿宋" w:eastAsia="仿宋" w:cs="宋体"/>
          <w:color w:val="auto"/>
          <w:sz w:val="32"/>
          <w:szCs w:val="32"/>
          <w:highlight w:val="none"/>
          <w:lang w:val="en-US" w:eastAsia="zh-CN"/>
        </w:rPr>
        <w:t>充</w:t>
      </w:r>
      <w:r>
        <w:rPr>
          <w:rFonts w:hint="eastAsia" w:ascii="仿宋" w:hAnsi="仿宋" w:eastAsia="仿宋" w:cs="宋体"/>
          <w:color w:val="auto"/>
          <w:sz w:val="32"/>
          <w:szCs w:val="32"/>
          <w:highlight w:val="none"/>
          <w:lang w:val="en-US" w:eastAsia="zh-CN"/>
        </w:rPr>
        <w:t>换</w:t>
      </w:r>
      <w:r>
        <w:rPr>
          <w:rFonts w:hint="default" w:ascii="仿宋" w:hAnsi="仿宋" w:eastAsia="仿宋" w:cs="宋体"/>
          <w:color w:val="auto"/>
          <w:sz w:val="32"/>
          <w:szCs w:val="32"/>
          <w:highlight w:val="none"/>
          <w:lang w:val="en-US" w:eastAsia="zh-CN"/>
        </w:rPr>
        <w:t>电一体化保障体系，</w:t>
      </w:r>
      <w:r>
        <w:rPr>
          <w:rFonts w:hint="eastAsia" w:ascii="仿宋" w:hAnsi="仿宋" w:eastAsia="仿宋" w:cs="宋体"/>
          <w:color w:val="auto"/>
          <w:sz w:val="32"/>
          <w:szCs w:val="32"/>
          <w:highlight w:val="none"/>
          <w:lang w:val="en-US" w:eastAsia="zh-CN"/>
        </w:rPr>
        <w:t>推动社会领域加快充换电基础设施建设和运维体系建设，解决燃油车占位、停车场收费以及制约充换电基础设施建设的不合理现象，推动</w:t>
      </w:r>
      <w:r>
        <w:rPr>
          <w:rFonts w:hint="default" w:ascii="仿宋" w:hAnsi="仿宋" w:eastAsia="仿宋" w:cs="宋体"/>
          <w:color w:val="auto"/>
          <w:sz w:val="32"/>
          <w:szCs w:val="32"/>
          <w:highlight w:val="none"/>
          <w:lang w:val="en-US" w:eastAsia="zh-CN"/>
        </w:rPr>
        <w:t>城际高速公路充</w:t>
      </w:r>
      <w:r>
        <w:rPr>
          <w:rFonts w:hint="eastAsia" w:ascii="仿宋" w:hAnsi="仿宋" w:eastAsia="仿宋" w:cs="宋体"/>
          <w:color w:val="auto"/>
          <w:sz w:val="32"/>
          <w:szCs w:val="32"/>
          <w:highlight w:val="none"/>
          <w:lang w:val="en-US" w:eastAsia="zh-CN"/>
        </w:rPr>
        <w:t>换</w:t>
      </w:r>
      <w:r>
        <w:rPr>
          <w:rFonts w:hint="default" w:ascii="仿宋" w:hAnsi="仿宋" w:eastAsia="仿宋" w:cs="宋体"/>
          <w:color w:val="auto"/>
          <w:sz w:val="32"/>
          <w:szCs w:val="32"/>
          <w:highlight w:val="none"/>
          <w:lang w:val="en-US" w:eastAsia="zh-CN"/>
        </w:rPr>
        <w:t>电基础设施互联互通</w:t>
      </w:r>
      <w:r>
        <w:rPr>
          <w:rFonts w:hint="eastAsia" w:ascii="仿宋" w:hAnsi="仿宋" w:eastAsia="仿宋" w:cs="宋体"/>
          <w:color w:val="auto"/>
          <w:sz w:val="32"/>
          <w:szCs w:val="32"/>
          <w:highlight w:val="none"/>
          <w:lang w:val="en-US" w:eastAsia="zh-CN"/>
        </w:rPr>
        <w:t>，</w:t>
      </w:r>
      <w:r>
        <w:rPr>
          <w:rFonts w:hint="default" w:ascii="仿宋" w:hAnsi="仿宋" w:eastAsia="仿宋" w:cs="宋体"/>
          <w:color w:val="auto"/>
          <w:sz w:val="32"/>
          <w:szCs w:val="32"/>
          <w:highlight w:val="none"/>
          <w:lang w:val="en-US" w:eastAsia="zh-CN"/>
        </w:rPr>
        <w:t>依法依规实施消防设计审查、消防验收及备案抽查，加强充电基础设施场所消防安全综合监管。</w:t>
      </w:r>
      <w:r>
        <w:rPr>
          <w:rFonts w:hint="eastAsia" w:ascii="仿宋" w:hAnsi="仿宋" w:eastAsia="仿宋" w:cs="宋体"/>
          <w:b/>
          <w:bCs/>
          <w:color w:val="auto"/>
          <w:sz w:val="32"/>
          <w:szCs w:val="32"/>
          <w:highlight w:val="none"/>
          <w:lang w:val="en-US" w:eastAsia="zh-CN"/>
        </w:rPr>
        <w:t>（</w:t>
      </w:r>
      <w:r>
        <w:rPr>
          <w:rFonts w:hint="default" w:ascii="仿宋" w:hAnsi="仿宋" w:eastAsia="仿宋" w:cs="宋体"/>
          <w:b/>
          <w:bCs/>
          <w:color w:val="auto"/>
          <w:sz w:val="32"/>
          <w:szCs w:val="32"/>
          <w:highlight w:val="none"/>
          <w:lang w:val="en-US" w:eastAsia="zh-CN"/>
        </w:rPr>
        <w:t>市发改统筹，市自然资源、交通运输、住房建设、城管执法、国资委</w:t>
      </w:r>
      <w:r>
        <w:rPr>
          <w:rFonts w:hint="eastAsia" w:ascii="仿宋" w:hAnsi="仿宋" w:eastAsia="仿宋" w:cs="宋体"/>
          <w:b/>
          <w:bCs/>
          <w:color w:val="auto"/>
          <w:sz w:val="32"/>
          <w:szCs w:val="32"/>
          <w:highlight w:val="none"/>
          <w:lang w:val="en-US" w:eastAsia="zh-CN"/>
        </w:rPr>
        <w:t>，</w:t>
      </w:r>
      <w:r>
        <w:rPr>
          <w:rFonts w:hint="default" w:ascii="仿宋" w:hAnsi="仿宋" w:eastAsia="仿宋" w:cs="宋体"/>
          <w:b/>
          <w:bCs/>
          <w:color w:val="auto"/>
          <w:sz w:val="32"/>
          <w:szCs w:val="32"/>
          <w:highlight w:val="none"/>
          <w:lang w:val="en-US" w:eastAsia="zh-CN"/>
        </w:rPr>
        <w:t>消防救援支队，</w:t>
      </w:r>
      <w:r>
        <w:rPr>
          <w:rFonts w:hint="eastAsia" w:ascii="仿宋" w:hAnsi="仿宋" w:eastAsia="仿宋" w:cs="宋体"/>
          <w:b/>
          <w:bCs/>
          <w:color w:val="auto"/>
          <w:sz w:val="32"/>
          <w:szCs w:val="32"/>
          <w:highlight w:val="none"/>
          <w:lang w:val="en-US" w:eastAsia="zh-CN"/>
        </w:rPr>
        <w:t>呼</w:t>
      </w:r>
      <w:r>
        <w:rPr>
          <w:rFonts w:hint="default" w:ascii="仿宋" w:hAnsi="仿宋" w:eastAsia="仿宋" w:cs="宋体"/>
          <w:b/>
          <w:bCs/>
          <w:color w:val="auto"/>
          <w:sz w:val="32"/>
          <w:szCs w:val="32"/>
          <w:highlight w:val="none"/>
          <w:lang w:val="en-US" w:eastAsia="zh-CN"/>
        </w:rPr>
        <w:t>供</w:t>
      </w:r>
      <w:r>
        <w:rPr>
          <w:rFonts w:hint="eastAsia" w:ascii="仿宋" w:hAnsi="仿宋" w:eastAsia="仿宋" w:cs="宋体"/>
          <w:b/>
          <w:bCs/>
          <w:color w:val="auto"/>
          <w:sz w:val="32"/>
          <w:szCs w:val="32"/>
          <w:highlight w:val="none"/>
          <w:lang w:val="en-US" w:eastAsia="zh-CN"/>
        </w:rPr>
        <w:t>，旗县区政府、开发区管委会分工负责）</w:t>
      </w:r>
    </w:p>
    <w:p>
      <w:pPr>
        <w:pStyle w:val="9"/>
        <w:spacing w:before="0" w:beforeAutospacing="0" w:after="0" w:afterAutospacing="0" w:line="600" w:lineRule="exact"/>
        <w:ind w:firstLine="640" w:firstLineChars="200"/>
        <w:jc w:val="both"/>
        <w:rPr>
          <w:rFonts w:hint="default"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w:t>
      </w:r>
      <w:r>
        <w:rPr>
          <w:rFonts w:hint="eastAsia" w:ascii="方正楷体_GBK" w:hAnsi="方正楷体_GBK" w:eastAsia="方正楷体_GBK" w:cs="方正楷体_GBK"/>
          <w:color w:val="auto"/>
          <w:sz w:val="32"/>
          <w:szCs w:val="32"/>
          <w:highlight w:val="none"/>
          <w:lang w:val="en-US" w:eastAsia="zh-CN"/>
        </w:rPr>
        <w:t>五</w:t>
      </w:r>
      <w:r>
        <w:rPr>
          <w:rFonts w:hint="default" w:ascii="方正楷体_GBK" w:hAnsi="方正楷体_GBK" w:eastAsia="方正楷体_GBK" w:cs="方正楷体_GBK"/>
          <w:color w:val="auto"/>
          <w:sz w:val="32"/>
          <w:szCs w:val="32"/>
          <w:highlight w:val="none"/>
          <w:lang w:val="en-US" w:eastAsia="zh-CN"/>
        </w:rPr>
        <w:t>）建立健全新能源汽车常态化安全监管机制</w:t>
      </w:r>
    </w:p>
    <w:p>
      <w:pPr>
        <w:pStyle w:val="9"/>
        <w:spacing w:before="0" w:beforeAutospacing="0" w:after="0" w:afterAutospacing="0" w:line="600" w:lineRule="exact"/>
        <w:ind w:firstLine="640" w:firstLineChars="200"/>
        <w:jc w:val="both"/>
        <w:rPr>
          <w:rFonts w:hint="default" w:ascii="仿宋" w:hAnsi="仿宋" w:eastAsia="仿宋" w:cs="宋体"/>
          <w:color w:val="auto"/>
          <w:sz w:val="32"/>
          <w:szCs w:val="32"/>
          <w:highlight w:val="none"/>
          <w:lang w:val="en-US" w:eastAsia="zh-CN"/>
        </w:rPr>
      </w:pPr>
      <w:r>
        <w:rPr>
          <w:rFonts w:hint="default" w:ascii="仿宋" w:hAnsi="仿宋" w:eastAsia="仿宋" w:cs="宋体"/>
          <w:color w:val="auto"/>
          <w:sz w:val="32"/>
          <w:szCs w:val="32"/>
          <w:highlight w:val="none"/>
          <w:lang w:val="en-US" w:eastAsia="zh-CN"/>
        </w:rPr>
        <w:t>健全新能源汽车生产企业及产品日常监督管理机制</w:t>
      </w:r>
      <w:r>
        <w:rPr>
          <w:rFonts w:hint="eastAsia" w:ascii="仿宋" w:hAnsi="仿宋" w:eastAsia="仿宋" w:cs="宋体"/>
          <w:color w:val="auto"/>
          <w:sz w:val="32"/>
          <w:szCs w:val="32"/>
          <w:highlight w:val="none"/>
          <w:lang w:val="en-US" w:eastAsia="zh-CN"/>
        </w:rPr>
        <w:t>，推动现有新能源汽车生产企业尽快形成产能</w:t>
      </w:r>
      <w:r>
        <w:rPr>
          <w:rFonts w:hint="default" w:ascii="仿宋" w:hAnsi="仿宋" w:eastAsia="仿宋" w:cs="宋体"/>
          <w:b/>
          <w:bCs/>
          <w:color w:val="auto"/>
          <w:sz w:val="32"/>
          <w:szCs w:val="32"/>
          <w:highlight w:val="none"/>
          <w:lang w:val="en-US" w:eastAsia="zh-CN"/>
        </w:rPr>
        <w:t>（市工信负责）</w:t>
      </w:r>
      <w:r>
        <w:rPr>
          <w:rFonts w:hint="default" w:ascii="仿宋" w:hAnsi="仿宋" w:eastAsia="仿宋" w:cs="宋体"/>
          <w:color w:val="auto"/>
          <w:sz w:val="32"/>
          <w:szCs w:val="32"/>
          <w:highlight w:val="none"/>
          <w:lang w:val="en-US" w:eastAsia="zh-CN"/>
        </w:rPr>
        <w:t>。完善公交车、出租车、物流车、旅游包车和租赁汽车等营运车辆安全监控体系</w:t>
      </w:r>
      <w:r>
        <w:rPr>
          <w:rFonts w:hint="default" w:ascii="仿宋" w:hAnsi="仿宋" w:eastAsia="仿宋" w:cs="宋体"/>
          <w:b/>
          <w:bCs/>
          <w:color w:val="auto"/>
          <w:sz w:val="32"/>
          <w:szCs w:val="32"/>
          <w:highlight w:val="none"/>
          <w:lang w:val="en-US" w:eastAsia="zh-CN"/>
        </w:rPr>
        <w:t>(市交通运输负责)</w:t>
      </w:r>
      <w:r>
        <w:rPr>
          <w:rFonts w:hint="default" w:ascii="仿宋" w:hAnsi="仿宋" w:eastAsia="仿宋" w:cs="宋体"/>
          <w:color w:val="auto"/>
          <w:sz w:val="32"/>
          <w:szCs w:val="32"/>
          <w:highlight w:val="none"/>
          <w:lang w:val="en-US" w:eastAsia="zh-CN"/>
        </w:rPr>
        <w:t>。严格实施新能源汽车缺陷产品召回管理，加强对动力电池、驱动电机等关键零部件以及充电设备等产品的质量监督管理</w:t>
      </w:r>
      <w:r>
        <w:rPr>
          <w:rFonts w:hint="eastAsia" w:ascii="仿宋" w:hAnsi="仿宋" w:eastAsia="仿宋" w:cs="宋体"/>
          <w:color w:val="auto"/>
          <w:sz w:val="32"/>
          <w:szCs w:val="32"/>
          <w:highlight w:val="none"/>
          <w:lang w:val="en-US" w:eastAsia="zh-CN"/>
        </w:rPr>
        <w:t>，推进现有电池及其原材料企业通过延伸产业链尽快布局动力电池及储能产业</w:t>
      </w:r>
      <w:r>
        <w:rPr>
          <w:rFonts w:hint="default" w:ascii="仿宋" w:hAnsi="仿宋" w:eastAsia="仿宋" w:cs="宋体"/>
          <w:b/>
          <w:bCs/>
          <w:color w:val="auto"/>
          <w:sz w:val="32"/>
          <w:szCs w:val="32"/>
          <w:highlight w:val="none"/>
          <w:lang w:val="en-US" w:eastAsia="zh-CN"/>
        </w:rPr>
        <w:t>（市市场监管</w:t>
      </w:r>
      <w:r>
        <w:rPr>
          <w:rFonts w:hint="eastAsia" w:ascii="仿宋" w:hAnsi="仿宋" w:eastAsia="仿宋" w:cs="宋体"/>
          <w:b/>
          <w:bCs/>
          <w:color w:val="auto"/>
          <w:sz w:val="32"/>
          <w:szCs w:val="32"/>
          <w:highlight w:val="none"/>
          <w:lang w:val="en-US" w:eastAsia="zh-CN"/>
        </w:rPr>
        <w:t>、工信、区域合作局分工</w:t>
      </w:r>
      <w:r>
        <w:rPr>
          <w:rFonts w:hint="default" w:ascii="仿宋" w:hAnsi="仿宋" w:eastAsia="仿宋" w:cs="宋体"/>
          <w:b/>
          <w:bCs/>
          <w:color w:val="auto"/>
          <w:sz w:val="32"/>
          <w:szCs w:val="32"/>
          <w:highlight w:val="none"/>
          <w:lang w:val="en-US" w:eastAsia="zh-CN"/>
        </w:rPr>
        <w:t>负责）</w:t>
      </w:r>
      <w:r>
        <w:rPr>
          <w:rFonts w:hint="default" w:ascii="仿宋" w:hAnsi="仿宋" w:eastAsia="仿宋" w:cs="宋体"/>
          <w:color w:val="auto"/>
          <w:sz w:val="32"/>
          <w:szCs w:val="32"/>
          <w:highlight w:val="none"/>
          <w:lang w:val="en-US" w:eastAsia="zh-CN"/>
        </w:rPr>
        <w:t>。加强新能源汽车报废回收管理，督促指导新能源汽车回收拆解企业做好动力蓄电池回收利用工作</w:t>
      </w:r>
      <w:r>
        <w:rPr>
          <w:rFonts w:hint="default" w:ascii="仿宋" w:hAnsi="仿宋" w:eastAsia="仿宋" w:cs="宋体"/>
          <w:b/>
          <w:bCs/>
          <w:color w:val="auto"/>
          <w:sz w:val="32"/>
          <w:szCs w:val="32"/>
          <w:highlight w:val="none"/>
          <w:lang w:val="en-US" w:eastAsia="zh-CN"/>
        </w:rPr>
        <w:t>（市商务、国资委</w:t>
      </w:r>
      <w:r>
        <w:rPr>
          <w:rFonts w:hint="eastAsia" w:ascii="仿宋" w:hAnsi="仿宋" w:eastAsia="仿宋" w:cs="宋体"/>
          <w:b/>
          <w:bCs/>
          <w:color w:val="auto"/>
          <w:sz w:val="32"/>
          <w:szCs w:val="32"/>
          <w:highlight w:val="none"/>
          <w:lang w:val="en-US" w:eastAsia="zh-CN"/>
        </w:rPr>
        <w:t>分工</w:t>
      </w:r>
      <w:r>
        <w:rPr>
          <w:rFonts w:hint="default" w:ascii="仿宋" w:hAnsi="仿宋" w:eastAsia="仿宋" w:cs="宋体"/>
          <w:b/>
          <w:bCs/>
          <w:color w:val="auto"/>
          <w:sz w:val="32"/>
          <w:szCs w:val="32"/>
          <w:highlight w:val="none"/>
          <w:lang w:val="en-US" w:eastAsia="zh-CN"/>
        </w:rPr>
        <w:t>负责）</w:t>
      </w:r>
      <w:r>
        <w:rPr>
          <w:rFonts w:hint="default" w:ascii="仿宋" w:hAnsi="仿宋" w:eastAsia="仿宋" w:cs="宋体"/>
          <w:color w:val="auto"/>
          <w:sz w:val="32"/>
          <w:szCs w:val="32"/>
          <w:highlight w:val="none"/>
          <w:lang w:val="en-US" w:eastAsia="zh-CN"/>
        </w:rPr>
        <w:t>。制定新能源汽车安全事故和故障应急处理办法，及时处置消防、救灾和人员疏散等重大应急事故</w:t>
      </w:r>
      <w:r>
        <w:rPr>
          <w:rFonts w:hint="default" w:ascii="仿宋" w:hAnsi="仿宋" w:eastAsia="仿宋" w:cs="宋体"/>
          <w:b/>
          <w:bCs/>
          <w:color w:val="auto"/>
          <w:sz w:val="32"/>
          <w:szCs w:val="32"/>
          <w:highlight w:val="none"/>
          <w:lang w:val="en-US" w:eastAsia="zh-CN"/>
        </w:rPr>
        <w:t>（市消防救援支队负责）</w:t>
      </w:r>
      <w:r>
        <w:rPr>
          <w:rFonts w:hint="default" w:ascii="仿宋" w:hAnsi="仿宋" w:eastAsia="仿宋" w:cs="宋体"/>
          <w:color w:val="auto"/>
          <w:sz w:val="32"/>
          <w:szCs w:val="32"/>
          <w:highlight w:val="none"/>
          <w:lang w:val="en-US" w:eastAsia="zh-CN"/>
        </w:rPr>
        <w:t>。</w:t>
      </w:r>
    </w:p>
    <w:p>
      <w:pPr>
        <w:pStyle w:val="9"/>
        <w:spacing w:before="0" w:beforeAutospacing="0" w:after="0" w:afterAutospacing="0" w:line="600" w:lineRule="exact"/>
        <w:ind w:firstLine="640" w:firstLineChars="200"/>
        <w:jc w:val="both"/>
        <w:rPr>
          <w:rFonts w:hint="eastAsia"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w:t>
      </w:r>
      <w:r>
        <w:rPr>
          <w:rFonts w:hint="eastAsia" w:ascii="方正楷体_GBK" w:hAnsi="方正楷体_GBK" w:eastAsia="方正楷体_GBK" w:cs="方正楷体_GBK"/>
          <w:color w:val="auto"/>
          <w:sz w:val="32"/>
          <w:szCs w:val="32"/>
          <w:highlight w:val="none"/>
          <w:lang w:val="en-US" w:eastAsia="zh-CN"/>
        </w:rPr>
        <w:t>六</w:t>
      </w:r>
      <w:r>
        <w:rPr>
          <w:rFonts w:hint="default" w:ascii="方正楷体_GBK" w:hAnsi="方正楷体_GBK" w:eastAsia="方正楷体_GBK" w:cs="方正楷体_GBK"/>
          <w:color w:val="auto"/>
          <w:sz w:val="32"/>
          <w:szCs w:val="32"/>
          <w:highlight w:val="none"/>
          <w:lang w:val="en-US" w:eastAsia="zh-CN"/>
        </w:rPr>
        <w:t>）</w:t>
      </w:r>
      <w:r>
        <w:rPr>
          <w:rFonts w:hint="eastAsia" w:ascii="方正楷体_GBK" w:hAnsi="方正楷体_GBK" w:eastAsia="方正楷体_GBK" w:cs="方正楷体_GBK"/>
          <w:color w:val="auto"/>
          <w:sz w:val="32"/>
          <w:szCs w:val="32"/>
          <w:highlight w:val="none"/>
          <w:lang w:val="en-US" w:eastAsia="zh-CN"/>
        </w:rPr>
        <w:t>培育壮大产业发展</w:t>
      </w:r>
    </w:p>
    <w:p>
      <w:pPr>
        <w:pStyle w:val="9"/>
        <w:spacing w:before="0" w:beforeAutospacing="0" w:after="0" w:afterAutospacing="0" w:line="600" w:lineRule="exact"/>
        <w:ind w:firstLine="640" w:firstLineChars="200"/>
        <w:jc w:val="both"/>
        <w:rPr>
          <w:rFonts w:hint="eastAsia" w:ascii="仿宋" w:hAnsi="仿宋" w:eastAsia="仿宋"/>
          <w:b/>
          <w:bCs/>
          <w:color w:val="auto"/>
          <w:sz w:val="32"/>
          <w:szCs w:val="32"/>
          <w:highlight w:val="none"/>
          <w:lang w:eastAsia="zh-CN"/>
        </w:rPr>
      </w:pPr>
      <w:r>
        <w:rPr>
          <w:rFonts w:hint="eastAsia" w:ascii="仿宋" w:hAnsi="仿宋" w:eastAsia="仿宋"/>
          <w:color w:val="auto"/>
          <w:sz w:val="32"/>
          <w:szCs w:val="32"/>
          <w:highlight w:val="none"/>
        </w:rPr>
        <w:t>依托现有产业基础和生产资质，做大做强新能源客车、做优做精新能源专用车和挂车、培育发展新能源乘用车整车生产</w:t>
      </w:r>
      <w:r>
        <w:rPr>
          <w:rFonts w:hint="eastAsia" w:ascii="仿宋" w:hAnsi="仿宋" w:eastAsia="仿宋"/>
          <w:color w:val="auto"/>
          <w:sz w:val="32"/>
          <w:szCs w:val="32"/>
          <w:highlight w:val="none"/>
          <w:lang w:eastAsia="zh-CN"/>
        </w:rPr>
        <w:t>，推动</w:t>
      </w:r>
      <w:r>
        <w:rPr>
          <w:rFonts w:hint="eastAsia" w:ascii="仿宋" w:hAnsi="仿宋" w:eastAsia="仿宋"/>
          <w:color w:val="auto"/>
          <w:sz w:val="32"/>
          <w:szCs w:val="32"/>
          <w:highlight w:val="none"/>
        </w:rPr>
        <w:t>新能源汽车零部件、储能电池及其配套部件为主的新能源装备产业</w:t>
      </w:r>
      <w:r>
        <w:rPr>
          <w:rFonts w:hint="eastAsia" w:ascii="仿宋" w:hAnsi="仿宋" w:eastAsia="仿宋"/>
          <w:color w:val="auto"/>
          <w:sz w:val="32"/>
          <w:szCs w:val="32"/>
          <w:highlight w:val="none"/>
          <w:lang w:eastAsia="zh-CN"/>
        </w:rPr>
        <w:t>集聚，推动上马一批</w:t>
      </w:r>
      <w:r>
        <w:rPr>
          <w:rFonts w:hint="eastAsia" w:ascii="仿宋" w:hAnsi="仿宋" w:eastAsia="仿宋"/>
          <w:color w:val="auto"/>
          <w:sz w:val="32"/>
          <w:szCs w:val="32"/>
          <w:highlight w:val="none"/>
        </w:rPr>
        <w:t>“光储充放”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分布式光伏发电—储能系统—充</w:t>
      </w:r>
      <w:r>
        <w:rPr>
          <w:rFonts w:hint="eastAsia" w:ascii="仿宋" w:hAnsi="仿宋" w:eastAsia="仿宋"/>
          <w:color w:val="auto"/>
          <w:sz w:val="32"/>
          <w:szCs w:val="32"/>
          <w:highlight w:val="none"/>
          <w:lang w:eastAsia="zh-CN"/>
        </w:rPr>
        <w:t>换</w:t>
      </w:r>
      <w:r>
        <w:rPr>
          <w:rFonts w:hint="eastAsia" w:ascii="仿宋" w:hAnsi="仿宋" w:eastAsia="仿宋"/>
          <w:color w:val="auto"/>
          <w:sz w:val="32"/>
          <w:szCs w:val="32"/>
          <w:highlight w:val="none"/>
        </w:rPr>
        <w:t>电—反输电网</w:t>
      </w:r>
      <w:r>
        <w:rPr>
          <w:rFonts w:hint="eastAsia" w:ascii="仿宋" w:hAnsi="仿宋" w:eastAsia="仿宋"/>
          <w:color w:val="auto"/>
          <w:sz w:val="32"/>
          <w:szCs w:val="32"/>
          <w:highlight w:val="none"/>
          <w:lang w:eastAsia="zh-CN"/>
        </w:rPr>
        <w:t>）和充换电智能</w:t>
      </w:r>
      <w:r>
        <w:rPr>
          <w:rFonts w:hint="eastAsia" w:ascii="仿宋" w:hAnsi="仿宋" w:eastAsia="仿宋"/>
          <w:color w:val="auto"/>
          <w:sz w:val="32"/>
          <w:szCs w:val="32"/>
          <w:highlight w:val="none"/>
        </w:rPr>
        <w:t>多功能综合一体站</w:t>
      </w:r>
      <w:r>
        <w:rPr>
          <w:rFonts w:hint="eastAsia" w:ascii="仿宋" w:hAnsi="仿宋" w:eastAsia="仿宋"/>
          <w:color w:val="auto"/>
          <w:sz w:val="32"/>
          <w:szCs w:val="32"/>
          <w:highlight w:val="none"/>
          <w:lang w:eastAsia="zh-CN"/>
        </w:rPr>
        <w:t>、加氢站等</w:t>
      </w:r>
      <w:r>
        <w:rPr>
          <w:rFonts w:hint="eastAsia" w:ascii="仿宋" w:hAnsi="仿宋" w:eastAsia="仿宋"/>
          <w:color w:val="auto"/>
          <w:sz w:val="32"/>
          <w:szCs w:val="32"/>
          <w:highlight w:val="none"/>
        </w:rPr>
        <w:t>建设项目</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鼓励新能源汽车产业与能源、交通、信息通信等领域企业跨界协同，推动有关技术加速融合，促进汽车产品形态、交通出行模式、能源消费结构和社会运行方式深度变革</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lang w:eastAsia="zh-CN"/>
        </w:rPr>
        <w:t>（市工信、发改、科技、财政、自然资源、生态环境、区域合作局，旗县区政府、开发区管委会分工负责）</w:t>
      </w:r>
    </w:p>
    <w:p>
      <w:pPr>
        <w:pStyle w:val="9"/>
        <w:spacing w:before="0" w:beforeAutospacing="0" w:after="0" w:afterAutospacing="0" w:line="600" w:lineRule="exact"/>
        <w:ind w:firstLine="640" w:firstLineChars="200"/>
        <w:jc w:val="both"/>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四、</w:t>
      </w:r>
      <w:r>
        <w:rPr>
          <w:rFonts w:hint="default" w:ascii="方正黑体_GBK" w:hAnsi="方正黑体_GBK" w:eastAsia="方正黑体_GBK" w:cs="方正黑体_GBK"/>
          <w:color w:val="auto"/>
          <w:sz w:val="32"/>
          <w:szCs w:val="32"/>
          <w:highlight w:val="none"/>
          <w:lang w:val="en-US" w:eastAsia="zh-CN"/>
        </w:rPr>
        <w:t>保障措施</w:t>
      </w:r>
    </w:p>
    <w:p>
      <w:pPr>
        <w:pStyle w:val="9"/>
        <w:spacing w:before="0" w:beforeAutospacing="0" w:after="0" w:afterAutospacing="0" w:line="600" w:lineRule="exact"/>
        <w:ind w:firstLine="640" w:firstLineChars="200"/>
        <w:jc w:val="both"/>
        <w:rPr>
          <w:rFonts w:hint="default"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（一）</w:t>
      </w:r>
      <w:r>
        <w:rPr>
          <w:rFonts w:hint="eastAsia" w:ascii="方正楷体_GBK" w:hAnsi="方正楷体_GBK" w:eastAsia="方正楷体_GBK" w:cs="方正楷体_GBK"/>
          <w:color w:val="auto"/>
          <w:sz w:val="32"/>
          <w:szCs w:val="32"/>
          <w:highlight w:val="none"/>
          <w:lang w:val="en-US" w:eastAsia="zh-CN"/>
        </w:rPr>
        <w:t>加强</w:t>
      </w:r>
      <w:r>
        <w:rPr>
          <w:rFonts w:hint="default" w:ascii="方正楷体_GBK" w:hAnsi="方正楷体_GBK" w:eastAsia="方正楷体_GBK" w:cs="方正楷体_GBK"/>
          <w:color w:val="auto"/>
          <w:sz w:val="32"/>
          <w:szCs w:val="32"/>
          <w:highlight w:val="none"/>
          <w:lang w:val="en-US" w:eastAsia="zh-CN"/>
        </w:rPr>
        <w:t>组织协调</w:t>
      </w:r>
    </w:p>
    <w:p>
      <w:pPr>
        <w:pStyle w:val="9"/>
        <w:spacing w:before="0" w:beforeAutospacing="0" w:after="0" w:afterAutospacing="0" w:line="600" w:lineRule="exact"/>
        <w:ind w:firstLine="640" w:firstLineChars="200"/>
        <w:jc w:val="both"/>
        <w:rPr>
          <w:rFonts w:hint="eastAsia" w:ascii="仿宋" w:hAnsi="仿宋" w:eastAsia="仿宋" w:cs="宋体"/>
          <w:b/>
          <w:bCs/>
          <w:color w:val="auto"/>
          <w:sz w:val="32"/>
          <w:szCs w:val="32"/>
          <w:highlight w:val="none"/>
          <w:lang w:val="en-US" w:eastAsia="zh-CN"/>
        </w:rPr>
      </w:pPr>
      <w:r>
        <w:rPr>
          <w:rFonts w:hint="eastAsia" w:ascii="仿宋" w:hAnsi="仿宋" w:eastAsia="仿宋" w:cs="宋体"/>
          <w:color w:val="auto"/>
          <w:sz w:val="32"/>
          <w:szCs w:val="32"/>
          <w:highlight w:val="none"/>
          <w:lang w:val="en-US" w:eastAsia="zh-CN"/>
        </w:rPr>
        <w:t>保留原由市长任组长、分管相关工作的副市长任副组长的新能源汽车推广应用领导小组，成员由市发改、科技、工信、</w:t>
      </w:r>
      <w:r>
        <w:rPr>
          <w:rFonts w:hint="default" w:ascii="仿宋" w:hAnsi="仿宋" w:eastAsia="仿宋" w:cs="宋体"/>
          <w:color w:val="auto"/>
          <w:sz w:val="32"/>
          <w:szCs w:val="32"/>
          <w:highlight w:val="none"/>
          <w:lang w:val="en-US" w:eastAsia="zh-CN"/>
        </w:rPr>
        <w:t>公安</w:t>
      </w:r>
      <w:r>
        <w:rPr>
          <w:rFonts w:hint="eastAsia" w:ascii="仿宋" w:hAnsi="仿宋" w:eastAsia="仿宋" w:cs="宋体"/>
          <w:color w:val="auto"/>
          <w:sz w:val="32"/>
          <w:szCs w:val="32"/>
          <w:highlight w:val="none"/>
          <w:lang w:val="en-US" w:eastAsia="zh-CN"/>
        </w:rPr>
        <w:t>、</w:t>
      </w:r>
      <w:r>
        <w:rPr>
          <w:rFonts w:hint="default" w:ascii="仿宋" w:hAnsi="仿宋" w:eastAsia="仿宋" w:cs="宋体"/>
          <w:color w:val="auto"/>
          <w:sz w:val="32"/>
          <w:szCs w:val="32"/>
          <w:highlight w:val="none"/>
          <w:lang w:val="en-US" w:eastAsia="zh-CN"/>
        </w:rPr>
        <w:t>财政</w:t>
      </w:r>
      <w:r>
        <w:rPr>
          <w:rFonts w:hint="eastAsia" w:ascii="仿宋" w:hAnsi="仿宋" w:eastAsia="仿宋" w:cs="宋体"/>
          <w:color w:val="auto"/>
          <w:sz w:val="32"/>
          <w:szCs w:val="32"/>
          <w:highlight w:val="none"/>
          <w:lang w:val="en-US" w:eastAsia="zh-CN"/>
        </w:rPr>
        <w:t>、自然资源、生态环境、住建、</w:t>
      </w:r>
      <w:r>
        <w:rPr>
          <w:rFonts w:hint="default" w:ascii="仿宋" w:hAnsi="仿宋" w:eastAsia="仿宋" w:cs="宋体"/>
          <w:color w:val="auto"/>
          <w:sz w:val="32"/>
          <w:szCs w:val="32"/>
          <w:highlight w:val="none"/>
          <w:lang w:val="en-US" w:eastAsia="zh-CN"/>
        </w:rPr>
        <w:t>交通运输</w:t>
      </w:r>
      <w:r>
        <w:rPr>
          <w:rFonts w:hint="eastAsia" w:ascii="仿宋" w:hAnsi="仿宋" w:eastAsia="仿宋" w:cs="宋体"/>
          <w:color w:val="auto"/>
          <w:sz w:val="32"/>
          <w:szCs w:val="32"/>
          <w:highlight w:val="none"/>
          <w:lang w:val="en-US" w:eastAsia="zh-CN"/>
        </w:rPr>
        <w:t>、商务、文旅广电、国资委、市场监管、体育、</w:t>
      </w:r>
      <w:r>
        <w:rPr>
          <w:rFonts w:hint="default" w:ascii="仿宋" w:hAnsi="仿宋" w:eastAsia="仿宋" w:cs="宋体"/>
          <w:color w:val="auto"/>
          <w:sz w:val="32"/>
          <w:szCs w:val="32"/>
          <w:highlight w:val="none"/>
          <w:lang w:val="en-US" w:eastAsia="zh-CN"/>
        </w:rPr>
        <w:t>金融</w:t>
      </w:r>
      <w:r>
        <w:rPr>
          <w:rFonts w:hint="eastAsia" w:ascii="仿宋" w:hAnsi="仿宋" w:eastAsia="仿宋" w:cs="宋体"/>
          <w:color w:val="auto"/>
          <w:sz w:val="32"/>
          <w:szCs w:val="32"/>
          <w:highlight w:val="none"/>
          <w:lang w:val="en-US" w:eastAsia="zh-CN"/>
        </w:rPr>
        <w:t>办、</w:t>
      </w:r>
      <w:r>
        <w:rPr>
          <w:rFonts w:hint="default" w:ascii="仿宋" w:hAnsi="仿宋" w:eastAsia="仿宋" w:cs="宋体"/>
          <w:color w:val="auto"/>
          <w:sz w:val="32"/>
          <w:szCs w:val="32"/>
          <w:highlight w:val="none"/>
          <w:lang w:val="en-US" w:eastAsia="zh-CN"/>
        </w:rPr>
        <w:t>城管执法</w:t>
      </w:r>
      <w:r>
        <w:rPr>
          <w:rFonts w:hint="eastAsia" w:ascii="仿宋" w:hAnsi="仿宋" w:eastAsia="仿宋" w:cs="宋体"/>
          <w:color w:val="auto"/>
          <w:sz w:val="32"/>
          <w:szCs w:val="32"/>
          <w:highlight w:val="none"/>
          <w:lang w:val="en-US" w:eastAsia="zh-CN"/>
        </w:rPr>
        <w:t>、区域合作、</w:t>
      </w:r>
      <w:r>
        <w:rPr>
          <w:rFonts w:hint="default" w:ascii="仿宋" w:hAnsi="仿宋" w:eastAsia="仿宋" w:cs="宋体"/>
          <w:color w:val="auto"/>
          <w:sz w:val="32"/>
          <w:szCs w:val="32"/>
          <w:highlight w:val="none"/>
          <w:lang w:val="en-US" w:eastAsia="zh-CN"/>
        </w:rPr>
        <w:t>机关事务局</w:t>
      </w:r>
      <w:r>
        <w:rPr>
          <w:rFonts w:hint="eastAsia" w:ascii="仿宋" w:hAnsi="仿宋" w:eastAsia="仿宋" w:cs="宋体"/>
          <w:color w:val="auto"/>
          <w:sz w:val="32"/>
          <w:szCs w:val="32"/>
          <w:highlight w:val="none"/>
          <w:lang w:val="en-US" w:eastAsia="zh-CN"/>
        </w:rPr>
        <w:t>，市税务、邮政管理、赛罕海关，呼</w:t>
      </w:r>
      <w:r>
        <w:rPr>
          <w:rFonts w:hint="default" w:ascii="仿宋" w:hAnsi="仿宋" w:eastAsia="仿宋" w:cs="宋体"/>
          <w:color w:val="auto"/>
          <w:sz w:val="32"/>
          <w:szCs w:val="32"/>
          <w:highlight w:val="none"/>
          <w:lang w:val="en-US" w:eastAsia="zh-CN"/>
        </w:rPr>
        <w:t>供</w:t>
      </w:r>
      <w:r>
        <w:rPr>
          <w:rFonts w:hint="eastAsia" w:ascii="仿宋" w:hAnsi="仿宋" w:eastAsia="仿宋" w:cs="宋体"/>
          <w:color w:val="auto"/>
          <w:sz w:val="32"/>
          <w:szCs w:val="32"/>
          <w:highlight w:val="none"/>
          <w:lang w:val="en-US" w:eastAsia="zh-CN"/>
        </w:rPr>
        <w:t>公司，旗县区政府、开发区管委会的主要领导组成，领导小组办公室设在市工信局，全面</w:t>
      </w:r>
      <w:r>
        <w:rPr>
          <w:rFonts w:hint="default" w:ascii="仿宋" w:hAnsi="仿宋" w:eastAsia="仿宋" w:cs="宋体"/>
          <w:color w:val="auto"/>
          <w:sz w:val="32"/>
          <w:szCs w:val="32"/>
          <w:highlight w:val="none"/>
          <w:lang w:val="en-US" w:eastAsia="zh-CN"/>
        </w:rPr>
        <w:t>统筹指导</w:t>
      </w:r>
      <w:r>
        <w:rPr>
          <w:rFonts w:hint="eastAsia" w:ascii="仿宋" w:hAnsi="仿宋" w:eastAsia="仿宋" w:cs="宋体"/>
          <w:color w:val="auto"/>
          <w:sz w:val="32"/>
          <w:szCs w:val="32"/>
          <w:highlight w:val="none"/>
          <w:lang w:val="en-US" w:eastAsia="zh-CN"/>
        </w:rPr>
        <w:t>新能源汽车推广应用和产业高质量发展</w:t>
      </w:r>
      <w:r>
        <w:rPr>
          <w:rFonts w:hint="default" w:ascii="仿宋" w:hAnsi="仿宋" w:eastAsia="仿宋" w:cs="宋体"/>
          <w:color w:val="auto"/>
          <w:sz w:val="32"/>
          <w:szCs w:val="32"/>
          <w:highlight w:val="none"/>
          <w:lang w:val="en-US" w:eastAsia="zh-CN"/>
        </w:rPr>
        <w:t>，</w:t>
      </w:r>
      <w:r>
        <w:rPr>
          <w:rFonts w:hint="eastAsia" w:ascii="仿宋" w:hAnsi="仿宋" w:eastAsia="仿宋" w:cs="宋体"/>
          <w:color w:val="auto"/>
          <w:sz w:val="32"/>
          <w:szCs w:val="32"/>
          <w:highlight w:val="none"/>
          <w:lang w:val="en-US" w:eastAsia="zh-CN"/>
        </w:rPr>
        <w:t>推动</w:t>
      </w:r>
      <w:r>
        <w:rPr>
          <w:rFonts w:hint="default" w:ascii="仿宋" w:hAnsi="仿宋" w:eastAsia="仿宋" w:cs="宋体"/>
          <w:color w:val="auto"/>
          <w:sz w:val="32"/>
          <w:szCs w:val="32"/>
          <w:highlight w:val="none"/>
          <w:lang w:val="en-US" w:eastAsia="zh-CN"/>
        </w:rPr>
        <w:t>制定完善配套政策措施和管理制度，形成多方合力，确保各项目标任务完成。推广应用过程中遇到的重要事项和问题要及时向市新能源汽车推广应用领导小组报告。</w:t>
      </w:r>
      <w:r>
        <w:rPr>
          <w:rFonts w:hint="eastAsia" w:ascii="仿宋" w:hAnsi="仿宋" w:eastAsia="仿宋" w:cs="宋体"/>
          <w:b/>
          <w:bCs/>
          <w:color w:val="auto"/>
          <w:sz w:val="32"/>
          <w:szCs w:val="32"/>
          <w:highlight w:val="none"/>
          <w:lang w:val="en-US" w:eastAsia="zh-CN"/>
        </w:rPr>
        <w:t>（市工信统筹，各成员单位配合落实）</w:t>
      </w:r>
    </w:p>
    <w:p>
      <w:pPr>
        <w:pStyle w:val="9"/>
        <w:spacing w:before="0" w:beforeAutospacing="0" w:after="0" w:afterAutospacing="0" w:line="600" w:lineRule="exact"/>
        <w:ind w:firstLine="640" w:firstLineChars="200"/>
        <w:jc w:val="both"/>
        <w:rPr>
          <w:rFonts w:hint="default"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（二）</w:t>
      </w:r>
      <w:r>
        <w:rPr>
          <w:rFonts w:hint="eastAsia" w:ascii="方正楷体_GBK" w:hAnsi="方正楷体_GBK" w:eastAsia="方正楷体_GBK" w:cs="方正楷体_GBK"/>
          <w:color w:val="auto"/>
          <w:sz w:val="32"/>
          <w:szCs w:val="32"/>
          <w:highlight w:val="none"/>
          <w:lang w:val="en-US" w:eastAsia="zh-CN"/>
        </w:rPr>
        <w:t>强化责任落实</w:t>
      </w:r>
    </w:p>
    <w:p>
      <w:pPr>
        <w:pStyle w:val="9"/>
        <w:spacing w:before="0" w:beforeAutospacing="0" w:after="0" w:afterAutospacing="0" w:line="600" w:lineRule="exact"/>
        <w:ind w:firstLine="640" w:firstLineChars="200"/>
        <w:jc w:val="both"/>
        <w:rPr>
          <w:rFonts w:hint="eastAsia" w:ascii="仿宋" w:hAnsi="仿宋" w:eastAsia="仿宋" w:cs="宋体"/>
          <w:b/>
          <w:bCs/>
          <w:color w:val="auto"/>
          <w:sz w:val="32"/>
          <w:szCs w:val="32"/>
          <w:highlight w:val="none"/>
          <w:lang w:val="en-US" w:eastAsia="zh-CN"/>
        </w:rPr>
      </w:pPr>
      <w:r>
        <w:rPr>
          <w:rFonts w:hint="eastAsia" w:ascii="仿宋" w:hAnsi="仿宋" w:eastAsia="仿宋" w:cs="宋体"/>
          <w:color w:val="auto"/>
          <w:sz w:val="32"/>
          <w:szCs w:val="32"/>
          <w:highlight w:val="none"/>
          <w:lang w:val="en-US" w:eastAsia="zh-CN"/>
        </w:rPr>
        <w:t>各单位各部门应根据各自职能，在场景应用、绿色通行、绿区设置、购车建桩、过路停车收费等领域和推动淘汰老旧车辆、引导参与推广应用、降低消费应用成本、推动产业高质量发展等方面制定具体的实施方案，细化政策措施。各旗县区政府、开发区管委会要落实属地主体责任，在立项审批、市场准入等环节要结合当地实际，研究制定具体实施方案和政策措施，确保各项任务落实到位。</w:t>
      </w:r>
      <w:r>
        <w:rPr>
          <w:rFonts w:hint="eastAsia" w:ascii="仿宋" w:hAnsi="仿宋" w:eastAsia="仿宋" w:cs="宋体"/>
          <w:b/>
          <w:bCs/>
          <w:color w:val="auto"/>
          <w:sz w:val="32"/>
          <w:szCs w:val="32"/>
          <w:highlight w:val="none"/>
          <w:lang w:val="en-US" w:eastAsia="zh-CN"/>
        </w:rPr>
        <w:t>（市工信统筹，各成员单位配合落实）</w:t>
      </w:r>
    </w:p>
    <w:p>
      <w:pPr>
        <w:pStyle w:val="9"/>
        <w:spacing w:before="0" w:beforeAutospacing="0" w:after="0" w:afterAutospacing="0" w:line="600" w:lineRule="exact"/>
        <w:ind w:firstLine="640" w:firstLineChars="200"/>
        <w:jc w:val="both"/>
        <w:rPr>
          <w:rFonts w:hint="default"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w:t>
      </w:r>
      <w:r>
        <w:rPr>
          <w:rFonts w:hint="eastAsia" w:ascii="方正楷体_GBK" w:hAnsi="方正楷体_GBK" w:eastAsia="方正楷体_GBK" w:cs="方正楷体_GBK"/>
          <w:color w:val="auto"/>
          <w:sz w:val="32"/>
          <w:szCs w:val="32"/>
          <w:highlight w:val="none"/>
          <w:lang w:val="en-US" w:eastAsia="zh-CN"/>
        </w:rPr>
        <w:t>三</w:t>
      </w:r>
      <w:r>
        <w:rPr>
          <w:rFonts w:hint="default" w:ascii="方正楷体_GBK" w:hAnsi="方正楷体_GBK" w:eastAsia="方正楷体_GBK" w:cs="方正楷体_GBK"/>
          <w:color w:val="auto"/>
          <w:sz w:val="32"/>
          <w:szCs w:val="32"/>
          <w:highlight w:val="none"/>
          <w:lang w:val="en-US" w:eastAsia="zh-CN"/>
        </w:rPr>
        <w:t>）加大财政</w:t>
      </w:r>
      <w:r>
        <w:rPr>
          <w:rFonts w:hint="eastAsia" w:ascii="方正楷体_GBK" w:hAnsi="方正楷体_GBK" w:eastAsia="方正楷体_GBK" w:cs="方正楷体_GBK"/>
          <w:color w:val="auto"/>
          <w:sz w:val="32"/>
          <w:szCs w:val="32"/>
          <w:highlight w:val="none"/>
          <w:lang w:val="en-US" w:eastAsia="zh-CN"/>
        </w:rPr>
        <w:t>金融</w:t>
      </w:r>
      <w:r>
        <w:rPr>
          <w:rFonts w:hint="default" w:ascii="方正楷体_GBK" w:hAnsi="方正楷体_GBK" w:eastAsia="方正楷体_GBK" w:cs="方正楷体_GBK"/>
          <w:color w:val="auto"/>
          <w:sz w:val="32"/>
          <w:szCs w:val="32"/>
          <w:highlight w:val="none"/>
          <w:lang w:val="en-US" w:eastAsia="zh-CN"/>
        </w:rPr>
        <w:t>支持</w:t>
      </w:r>
    </w:p>
    <w:p>
      <w:pPr>
        <w:pStyle w:val="9"/>
        <w:spacing w:before="0" w:beforeAutospacing="0" w:after="0" w:afterAutospacing="0" w:line="600" w:lineRule="exact"/>
        <w:ind w:firstLine="640" w:firstLineChars="200"/>
        <w:jc w:val="both"/>
        <w:rPr>
          <w:rFonts w:hint="eastAsia" w:ascii="仿宋" w:hAnsi="仿宋" w:eastAsia="仿宋" w:cs="宋体"/>
          <w:color w:val="auto"/>
          <w:sz w:val="32"/>
          <w:szCs w:val="32"/>
          <w:highlight w:val="none"/>
          <w:lang w:val="en-US" w:eastAsia="zh-CN"/>
        </w:rPr>
      </w:pPr>
      <w:r>
        <w:rPr>
          <w:rFonts w:hint="default" w:ascii="仿宋" w:hAnsi="仿宋" w:eastAsia="仿宋" w:cs="宋体"/>
          <w:color w:val="auto"/>
          <w:sz w:val="32"/>
          <w:szCs w:val="32"/>
          <w:highlight w:val="none"/>
          <w:lang w:val="en-US" w:eastAsia="zh-CN"/>
        </w:rPr>
        <w:t>采用直接资助、贷款贴息、风险补偿等多元化扶持手段，支持新能源汽车产业链重点企业组织实施关键领域和核心环节研发创新、产业化、产业配套服务体系建设项目。落实国家</w:t>
      </w:r>
      <w:r>
        <w:rPr>
          <w:rFonts w:hint="eastAsia" w:ascii="仿宋" w:hAnsi="仿宋" w:eastAsia="仿宋" w:cs="宋体"/>
          <w:color w:val="auto"/>
          <w:sz w:val="32"/>
          <w:szCs w:val="32"/>
          <w:highlight w:val="none"/>
          <w:lang w:val="en-US" w:eastAsia="zh-CN"/>
        </w:rPr>
        <w:t>和自治区</w:t>
      </w:r>
      <w:r>
        <w:rPr>
          <w:rFonts w:hint="default" w:ascii="仿宋" w:hAnsi="仿宋" w:eastAsia="仿宋" w:cs="宋体"/>
          <w:color w:val="auto"/>
          <w:sz w:val="32"/>
          <w:szCs w:val="32"/>
          <w:highlight w:val="none"/>
          <w:lang w:val="en-US" w:eastAsia="zh-CN"/>
        </w:rPr>
        <w:t>新能源汽车财政补贴政策，研究制定新能源小汽车综合使用和充电设施建设运营激励政策。鼓励引导金融机构提供优质便捷的金融服务，加大对新能源汽车个人消费信贷支持力度。鼓励社会力量设立绿色交通基金，调动全社会支持、参与绿色交通积极性。</w:t>
      </w:r>
      <w:r>
        <w:rPr>
          <w:rFonts w:hint="default" w:ascii="仿宋" w:hAnsi="仿宋" w:eastAsia="仿宋" w:cs="宋体"/>
          <w:b/>
          <w:bCs/>
          <w:color w:val="auto"/>
          <w:sz w:val="32"/>
          <w:szCs w:val="32"/>
          <w:highlight w:val="none"/>
          <w:lang w:val="en-US" w:eastAsia="zh-CN"/>
        </w:rPr>
        <w:t>（市发改、科技、工信、财政</w:t>
      </w:r>
      <w:r>
        <w:rPr>
          <w:rFonts w:hint="eastAsia" w:ascii="仿宋" w:hAnsi="仿宋" w:eastAsia="仿宋" w:cs="宋体"/>
          <w:b/>
          <w:bCs/>
          <w:color w:val="auto"/>
          <w:sz w:val="32"/>
          <w:szCs w:val="32"/>
          <w:highlight w:val="none"/>
          <w:lang w:val="en-US" w:eastAsia="zh-CN"/>
        </w:rPr>
        <w:t>、</w:t>
      </w:r>
      <w:r>
        <w:rPr>
          <w:rFonts w:hint="default" w:ascii="仿宋" w:hAnsi="仿宋" w:eastAsia="仿宋" w:cs="宋体"/>
          <w:b/>
          <w:bCs/>
          <w:color w:val="auto"/>
          <w:sz w:val="32"/>
          <w:szCs w:val="32"/>
          <w:highlight w:val="none"/>
          <w:lang w:val="en-US" w:eastAsia="zh-CN"/>
        </w:rPr>
        <w:t>交通运输、公安交警、金融</w:t>
      </w:r>
      <w:r>
        <w:rPr>
          <w:rFonts w:hint="eastAsia" w:ascii="仿宋" w:hAnsi="仿宋" w:eastAsia="仿宋" w:cs="宋体"/>
          <w:b/>
          <w:bCs/>
          <w:color w:val="auto"/>
          <w:sz w:val="32"/>
          <w:szCs w:val="32"/>
          <w:highlight w:val="none"/>
          <w:lang w:val="en-US" w:eastAsia="zh-CN"/>
        </w:rPr>
        <w:t>办</w:t>
      </w:r>
      <w:r>
        <w:rPr>
          <w:rFonts w:hint="default" w:ascii="仿宋" w:hAnsi="仿宋" w:eastAsia="仿宋" w:cs="宋体"/>
          <w:b/>
          <w:bCs/>
          <w:color w:val="auto"/>
          <w:sz w:val="32"/>
          <w:szCs w:val="32"/>
          <w:highlight w:val="none"/>
          <w:lang w:val="en-US" w:eastAsia="zh-CN"/>
        </w:rPr>
        <w:t>分</w:t>
      </w:r>
      <w:r>
        <w:rPr>
          <w:rFonts w:hint="eastAsia" w:ascii="仿宋" w:hAnsi="仿宋" w:eastAsia="仿宋" w:cs="宋体"/>
          <w:b/>
          <w:bCs/>
          <w:color w:val="auto"/>
          <w:sz w:val="32"/>
          <w:szCs w:val="32"/>
          <w:highlight w:val="none"/>
          <w:lang w:val="en-US" w:eastAsia="zh-CN"/>
        </w:rPr>
        <w:t>工</w:t>
      </w:r>
      <w:r>
        <w:rPr>
          <w:rFonts w:hint="default" w:ascii="仿宋" w:hAnsi="仿宋" w:eastAsia="仿宋" w:cs="宋体"/>
          <w:b/>
          <w:bCs/>
          <w:color w:val="auto"/>
          <w:sz w:val="32"/>
          <w:szCs w:val="32"/>
          <w:highlight w:val="none"/>
          <w:lang w:val="en-US" w:eastAsia="zh-CN"/>
        </w:rPr>
        <w:t>负责）</w:t>
      </w:r>
    </w:p>
    <w:p>
      <w:pPr>
        <w:pStyle w:val="9"/>
        <w:spacing w:before="0" w:beforeAutospacing="0" w:after="0" w:afterAutospacing="0" w:line="600" w:lineRule="exact"/>
        <w:ind w:firstLine="640" w:firstLineChars="200"/>
        <w:jc w:val="both"/>
        <w:rPr>
          <w:rFonts w:hint="default"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（四）保障用电用地</w:t>
      </w:r>
    </w:p>
    <w:p>
      <w:pPr>
        <w:pStyle w:val="9"/>
        <w:spacing w:before="0" w:beforeAutospacing="0" w:after="0" w:afterAutospacing="0" w:line="600" w:lineRule="exact"/>
        <w:ind w:firstLine="640" w:firstLineChars="200"/>
        <w:jc w:val="both"/>
        <w:rPr>
          <w:rFonts w:hint="default" w:ascii="仿宋" w:hAnsi="仿宋" w:eastAsia="仿宋" w:cs="宋体"/>
          <w:b/>
          <w:bCs/>
          <w:color w:val="auto"/>
          <w:sz w:val="32"/>
          <w:szCs w:val="32"/>
          <w:highlight w:val="none"/>
          <w:lang w:val="en-US" w:eastAsia="zh-CN"/>
        </w:rPr>
      </w:pPr>
      <w:r>
        <w:rPr>
          <w:rFonts w:hint="default" w:ascii="仿宋" w:hAnsi="仿宋" w:eastAsia="仿宋" w:cs="宋体"/>
          <w:color w:val="auto"/>
          <w:sz w:val="32"/>
          <w:szCs w:val="32"/>
          <w:highlight w:val="none"/>
          <w:lang w:val="en-US" w:eastAsia="zh-CN"/>
        </w:rPr>
        <w:t>逐步提高新建住宅小区（含城市更新）停车场充电设施配建比例，新建住宅小区配建停车场应100%建设充电设施或预留建设安装条件</w:t>
      </w:r>
      <w:r>
        <w:rPr>
          <w:rFonts w:hint="eastAsia" w:ascii="仿宋" w:hAnsi="仿宋" w:eastAsia="仿宋" w:cs="宋体"/>
          <w:color w:val="auto"/>
          <w:sz w:val="32"/>
          <w:szCs w:val="32"/>
          <w:highlight w:val="none"/>
          <w:lang w:val="en-US" w:eastAsia="zh-CN"/>
        </w:rPr>
        <w:t>，鼓励社区充电设施“统建统营”。</w:t>
      </w:r>
      <w:r>
        <w:rPr>
          <w:rFonts w:hint="default" w:ascii="仿宋" w:hAnsi="仿宋" w:eastAsia="仿宋" w:cs="宋体"/>
          <w:color w:val="auto"/>
          <w:sz w:val="32"/>
          <w:szCs w:val="32"/>
          <w:highlight w:val="none"/>
          <w:lang w:val="en-US" w:eastAsia="zh-CN"/>
        </w:rPr>
        <w:t>依法落实新增公交、出租、物流、环卫、工程等领域充电设施配套用地和空间预留。在符合国家安全技术规范的前提下，针对不同的新能源汽车充</w:t>
      </w:r>
      <w:r>
        <w:rPr>
          <w:rFonts w:hint="eastAsia" w:ascii="仿宋" w:hAnsi="仿宋" w:eastAsia="仿宋" w:cs="宋体"/>
          <w:color w:val="auto"/>
          <w:sz w:val="32"/>
          <w:szCs w:val="32"/>
          <w:highlight w:val="none"/>
          <w:lang w:val="en-US" w:eastAsia="zh-CN"/>
        </w:rPr>
        <w:t>换</w:t>
      </w:r>
      <w:r>
        <w:rPr>
          <w:rFonts w:hint="default" w:ascii="仿宋" w:hAnsi="仿宋" w:eastAsia="仿宋" w:cs="宋体"/>
          <w:color w:val="auto"/>
          <w:sz w:val="32"/>
          <w:szCs w:val="32"/>
          <w:highlight w:val="none"/>
          <w:lang w:val="en-US" w:eastAsia="zh-CN"/>
        </w:rPr>
        <w:t>电环境和电力容量需求科学制定供配电保障方案，进一步简化规范用电报装手续，</w:t>
      </w:r>
      <w:r>
        <w:rPr>
          <w:rFonts w:hint="eastAsia" w:ascii="仿宋" w:hAnsi="仿宋" w:eastAsia="仿宋" w:cs="宋体"/>
          <w:color w:val="auto"/>
          <w:sz w:val="32"/>
          <w:szCs w:val="32"/>
          <w:highlight w:val="none"/>
          <w:lang w:val="en-US" w:eastAsia="zh-CN"/>
        </w:rPr>
        <w:t>鼓励错峰用电，支持充换电车位加装配套附属设施，落实对实施两部制电价的电动汽车集中式充换电设施用电</w:t>
      </w:r>
      <w:r>
        <w:rPr>
          <w:rFonts w:hint="default" w:ascii="仿宋" w:hAnsi="仿宋" w:eastAsia="仿宋" w:cs="宋体"/>
          <w:color w:val="auto"/>
          <w:sz w:val="32"/>
          <w:szCs w:val="32"/>
          <w:highlight w:val="none"/>
          <w:lang w:val="en-US" w:eastAsia="zh-CN"/>
        </w:rPr>
        <w:t>免收需量（容量）电费</w:t>
      </w:r>
      <w:r>
        <w:rPr>
          <w:rFonts w:hint="eastAsia" w:ascii="仿宋" w:hAnsi="仿宋" w:eastAsia="仿宋" w:cs="宋体"/>
          <w:color w:val="auto"/>
          <w:sz w:val="32"/>
          <w:szCs w:val="32"/>
          <w:highlight w:val="none"/>
          <w:lang w:val="en-US" w:eastAsia="zh-CN"/>
        </w:rPr>
        <w:t>和内蒙古自治区战略性新兴产业目录电价政策，</w:t>
      </w:r>
      <w:r>
        <w:rPr>
          <w:rFonts w:hint="default" w:ascii="仿宋" w:hAnsi="仿宋" w:eastAsia="仿宋" w:cs="宋体"/>
          <w:color w:val="auto"/>
          <w:sz w:val="32"/>
          <w:szCs w:val="32"/>
          <w:highlight w:val="none"/>
          <w:lang w:val="en-US" w:eastAsia="zh-CN"/>
        </w:rPr>
        <w:t>为充电设施建设提供便利高效的用电保障服务。</w:t>
      </w:r>
      <w:r>
        <w:rPr>
          <w:rFonts w:hint="default" w:ascii="仿宋" w:hAnsi="仿宋" w:eastAsia="仿宋" w:cs="宋体"/>
          <w:b/>
          <w:bCs/>
          <w:color w:val="auto"/>
          <w:sz w:val="32"/>
          <w:szCs w:val="32"/>
          <w:highlight w:val="none"/>
          <w:lang w:val="en-US" w:eastAsia="zh-CN"/>
        </w:rPr>
        <w:t>（市自然资源</w:t>
      </w:r>
      <w:r>
        <w:rPr>
          <w:rFonts w:hint="eastAsia" w:ascii="仿宋" w:hAnsi="仿宋" w:eastAsia="仿宋" w:cs="宋体"/>
          <w:b/>
          <w:bCs/>
          <w:color w:val="auto"/>
          <w:sz w:val="32"/>
          <w:szCs w:val="32"/>
          <w:highlight w:val="none"/>
          <w:lang w:val="en-US" w:eastAsia="zh-CN"/>
        </w:rPr>
        <w:t>、发改、工信、住建、城管执法</w:t>
      </w:r>
      <w:r>
        <w:rPr>
          <w:rFonts w:hint="default" w:ascii="仿宋" w:hAnsi="仿宋" w:eastAsia="仿宋" w:cs="宋体"/>
          <w:b/>
          <w:bCs/>
          <w:color w:val="auto"/>
          <w:sz w:val="32"/>
          <w:szCs w:val="32"/>
          <w:highlight w:val="none"/>
          <w:lang w:val="en-US" w:eastAsia="zh-CN"/>
        </w:rPr>
        <w:t>，</w:t>
      </w:r>
      <w:r>
        <w:rPr>
          <w:rFonts w:hint="eastAsia" w:ascii="仿宋" w:hAnsi="仿宋" w:eastAsia="仿宋" w:cs="宋体"/>
          <w:b/>
          <w:bCs/>
          <w:color w:val="auto"/>
          <w:sz w:val="32"/>
          <w:szCs w:val="32"/>
          <w:highlight w:val="none"/>
          <w:lang w:val="en-US" w:eastAsia="zh-CN"/>
        </w:rPr>
        <w:t>呼</w:t>
      </w:r>
      <w:r>
        <w:rPr>
          <w:rFonts w:hint="default" w:ascii="仿宋" w:hAnsi="仿宋" w:eastAsia="仿宋" w:cs="宋体"/>
          <w:b/>
          <w:bCs/>
          <w:color w:val="auto"/>
          <w:sz w:val="32"/>
          <w:szCs w:val="32"/>
          <w:highlight w:val="none"/>
          <w:lang w:val="en-US" w:eastAsia="zh-CN"/>
        </w:rPr>
        <w:t>供</w:t>
      </w:r>
      <w:r>
        <w:rPr>
          <w:rFonts w:hint="eastAsia" w:ascii="仿宋" w:hAnsi="仿宋" w:eastAsia="仿宋" w:cs="宋体"/>
          <w:b/>
          <w:bCs/>
          <w:color w:val="auto"/>
          <w:sz w:val="32"/>
          <w:szCs w:val="32"/>
          <w:highlight w:val="none"/>
          <w:lang w:val="en-US" w:eastAsia="zh-CN"/>
        </w:rPr>
        <w:t>公司</w:t>
      </w:r>
      <w:r>
        <w:rPr>
          <w:rFonts w:hint="default" w:ascii="仿宋" w:hAnsi="仿宋" w:eastAsia="仿宋" w:cs="宋体"/>
          <w:b/>
          <w:bCs/>
          <w:color w:val="auto"/>
          <w:sz w:val="32"/>
          <w:szCs w:val="32"/>
          <w:highlight w:val="none"/>
          <w:lang w:val="en-US" w:eastAsia="zh-CN"/>
        </w:rPr>
        <w:t>分</w:t>
      </w:r>
      <w:r>
        <w:rPr>
          <w:rFonts w:hint="eastAsia" w:ascii="仿宋" w:hAnsi="仿宋" w:eastAsia="仿宋" w:cs="宋体"/>
          <w:b/>
          <w:bCs/>
          <w:color w:val="auto"/>
          <w:sz w:val="32"/>
          <w:szCs w:val="32"/>
          <w:highlight w:val="none"/>
          <w:lang w:val="en-US" w:eastAsia="zh-CN"/>
        </w:rPr>
        <w:t>工</w:t>
      </w:r>
      <w:r>
        <w:rPr>
          <w:rFonts w:hint="default" w:ascii="仿宋" w:hAnsi="仿宋" w:eastAsia="仿宋" w:cs="宋体"/>
          <w:b/>
          <w:bCs/>
          <w:color w:val="auto"/>
          <w:sz w:val="32"/>
          <w:szCs w:val="32"/>
          <w:highlight w:val="none"/>
          <w:lang w:val="en-US" w:eastAsia="zh-CN"/>
        </w:rPr>
        <w:t>负责）</w:t>
      </w:r>
    </w:p>
    <w:p>
      <w:pPr>
        <w:pStyle w:val="9"/>
        <w:spacing w:before="0" w:beforeAutospacing="0" w:after="0" w:afterAutospacing="0" w:line="600" w:lineRule="exact"/>
        <w:ind w:firstLine="640" w:firstLineChars="200"/>
        <w:jc w:val="both"/>
        <w:rPr>
          <w:rFonts w:hint="default" w:ascii="方正楷体_GBK" w:hAnsi="方正楷体_GBK" w:eastAsia="方正楷体_GBK" w:cs="方正楷体_GBK"/>
          <w:color w:val="auto"/>
          <w:sz w:val="32"/>
          <w:szCs w:val="32"/>
          <w:highlight w:val="none"/>
          <w:lang w:val="en-US" w:eastAsia="zh-CN"/>
        </w:rPr>
      </w:pPr>
      <w:r>
        <w:rPr>
          <w:rFonts w:hint="default" w:ascii="方正楷体_GBK" w:hAnsi="方正楷体_GBK" w:eastAsia="方正楷体_GBK" w:cs="方正楷体_GBK"/>
          <w:color w:val="auto"/>
          <w:sz w:val="32"/>
          <w:szCs w:val="32"/>
          <w:highlight w:val="none"/>
          <w:lang w:val="en-US" w:eastAsia="zh-CN"/>
        </w:rPr>
        <w:t>（五）完善标准体系</w:t>
      </w:r>
    </w:p>
    <w:p>
      <w:pPr>
        <w:pStyle w:val="9"/>
        <w:spacing w:before="0" w:beforeAutospacing="0" w:after="0" w:afterAutospacing="0" w:line="600" w:lineRule="exact"/>
        <w:ind w:firstLine="640" w:firstLineChars="200"/>
        <w:jc w:val="both"/>
        <w:rPr>
          <w:rFonts w:hint="default" w:ascii="仿宋" w:hAnsi="仿宋" w:eastAsia="仿宋" w:cs="宋体"/>
          <w:b/>
          <w:bCs/>
          <w:color w:val="auto"/>
          <w:sz w:val="32"/>
          <w:szCs w:val="32"/>
          <w:highlight w:val="none"/>
          <w:lang w:val="en-US" w:eastAsia="zh-CN"/>
        </w:rPr>
      </w:pPr>
      <w:r>
        <w:rPr>
          <w:rFonts w:hint="default" w:ascii="仿宋" w:hAnsi="仿宋" w:eastAsia="仿宋" w:cs="宋体"/>
          <w:color w:val="auto"/>
          <w:sz w:val="32"/>
          <w:szCs w:val="32"/>
          <w:highlight w:val="none"/>
          <w:lang w:val="en-US" w:eastAsia="zh-CN"/>
        </w:rPr>
        <w:t>健全完善我市新能源汽车</w:t>
      </w:r>
      <w:r>
        <w:rPr>
          <w:rFonts w:hint="eastAsia" w:ascii="仿宋" w:hAnsi="仿宋" w:eastAsia="仿宋" w:cs="宋体"/>
          <w:color w:val="auto"/>
          <w:sz w:val="32"/>
          <w:szCs w:val="32"/>
          <w:highlight w:val="none"/>
          <w:lang w:val="en-US" w:eastAsia="zh-CN"/>
        </w:rPr>
        <w:t>生产</w:t>
      </w:r>
      <w:r>
        <w:rPr>
          <w:rFonts w:hint="default" w:ascii="仿宋" w:hAnsi="仿宋" w:eastAsia="仿宋" w:cs="宋体"/>
          <w:color w:val="auto"/>
          <w:sz w:val="32"/>
          <w:szCs w:val="32"/>
          <w:highlight w:val="none"/>
          <w:lang w:val="en-US" w:eastAsia="zh-CN"/>
        </w:rPr>
        <w:t>、零部件以及维修保养、检测等安全标准体系，</w:t>
      </w:r>
      <w:r>
        <w:rPr>
          <w:rFonts w:hint="eastAsia" w:ascii="仿宋" w:hAnsi="仿宋" w:eastAsia="仿宋" w:cs="宋体"/>
          <w:color w:val="auto"/>
          <w:sz w:val="32"/>
          <w:szCs w:val="32"/>
          <w:highlight w:val="none"/>
          <w:lang w:val="en-US" w:eastAsia="zh-CN"/>
        </w:rPr>
        <w:t>因地制宜</w:t>
      </w:r>
      <w:r>
        <w:rPr>
          <w:rFonts w:hint="default" w:ascii="仿宋" w:hAnsi="仿宋" w:eastAsia="仿宋" w:cs="宋体"/>
          <w:color w:val="auto"/>
          <w:sz w:val="32"/>
          <w:szCs w:val="32"/>
          <w:highlight w:val="none"/>
          <w:lang w:val="en-US" w:eastAsia="zh-CN"/>
        </w:rPr>
        <w:t>制定动力电池安全测试方法、充</w:t>
      </w:r>
      <w:r>
        <w:rPr>
          <w:rFonts w:hint="eastAsia" w:ascii="仿宋" w:hAnsi="仿宋" w:eastAsia="仿宋" w:cs="宋体"/>
          <w:color w:val="auto"/>
          <w:sz w:val="32"/>
          <w:szCs w:val="32"/>
          <w:highlight w:val="none"/>
          <w:lang w:val="en-US" w:eastAsia="zh-CN"/>
        </w:rPr>
        <w:t>换</w:t>
      </w:r>
      <w:r>
        <w:rPr>
          <w:rFonts w:hint="default" w:ascii="仿宋" w:hAnsi="仿宋" w:eastAsia="仿宋" w:cs="宋体"/>
          <w:color w:val="auto"/>
          <w:sz w:val="32"/>
          <w:szCs w:val="32"/>
          <w:highlight w:val="none"/>
          <w:lang w:val="en-US" w:eastAsia="zh-CN"/>
        </w:rPr>
        <w:t>电设施建设标准，将用于营运的新能源车辆纳入营运车辆检验检测体系，督促企业加强动力电池、电机电控系统、充电设施等</w:t>
      </w:r>
      <w:r>
        <w:rPr>
          <w:rFonts w:hint="eastAsia" w:ascii="仿宋" w:hAnsi="仿宋" w:eastAsia="仿宋" w:cs="宋体"/>
          <w:color w:val="auto"/>
          <w:sz w:val="32"/>
          <w:szCs w:val="32"/>
          <w:highlight w:val="none"/>
          <w:lang w:val="en-US" w:eastAsia="zh-CN"/>
        </w:rPr>
        <w:t>“三电”</w:t>
      </w:r>
      <w:r>
        <w:rPr>
          <w:rFonts w:hint="default" w:ascii="仿宋" w:hAnsi="仿宋" w:eastAsia="仿宋" w:cs="宋体"/>
          <w:color w:val="auto"/>
          <w:sz w:val="32"/>
          <w:szCs w:val="32"/>
          <w:highlight w:val="none"/>
          <w:lang w:val="en-US" w:eastAsia="zh-CN"/>
        </w:rPr>
        <w:t>的维护保养检测。制定新能源汽车售后服务和新能源二手车鉴定评估技术规范。</w:t>
      </w:r>
      <w:r>
        <w:rPr>
          <w:rFonts w:hint="default" w:ascii="仿宋" w:hAnsi="仿宋" w:eastAsia="仿宋" w:cs="宋体"/>
          <w:b/>
          <w:bCs/>
          <w:color w:val="auto"/>
          <w:sz w:val="32"/>
          <w:szCs w:val="32"/>
          <w:highlight w:val="none"/>
          <w:lang w:val="en-US" w:eastAsia="zh-CN"/>
        </w:rPr>
        <w:t>（市工信、交通运输、商务、市场监管、公安分</w:t>
      </w:r>
      <w:r>
        <w:rPr>
          <w:rFonts w:hint="eastAsia" w:ascii="仿宋" w:hAnsi="仿宋" w:eastAsia="仿宋" w:cs="宋体"/>
          <w:b/>
          <w:bCs/>
          <w:color w:val="auto"/>
          <w:sz w:val="32"/>
          <w:szCs w:val="32"/>
          <w:highlight w:val="none"/>
          <w:lang w:val="en-US" w:eastAsia="zh-CN"/>
        </w:rPr>
        <w:t>工</w:t>
      </w:r>
      <w:r>
        <w:rPr>
          <w:rFonts w:hint="default" w:ascii="仿宋" w:hAnsi="仿宋" w:eastAsia="仿宋" w:cs="宋体"/>
          <w:b/>
          <w:bCs/>
          <w:color w:val="auto"/>
          <w:sz w:val="32"/>
          <w:szCs w:val="32"/>
          <w:highlight w:val="none"/>
          <w:lang w:val="en-US" w:eastAsia="zh-CN"/>
        </w:rPr>
        <w:t>负责）</w:t>
      </w:r>
    </w:p>
    <w:p>
      <w:pPr>
        <w:pStyle w:val="9"/>
        <w:spacing w:before="0" w:beforeAutospacing="0" w:after="0" w:afterAutospacing="0" w:line="600" w:lineRule="exact"/>
        <w:ind w:firstLine="642" w:firstLineChars="200"/>
        <w:jc w:val="both"/>
        <w:rPr>
          <w:rFonts w:hint="default" w:ascii="仿宋" w:hAnsi="仿宋" w:eastAsia="仿宋" w:cs="宋体"/>
          <w:b/>
          <w:bCs/>
          <w:color w:val="auto"/>
          <w:sz w:val="32"/>
          <w:szCs w:val="32"/>
          <w:highlight w:val="none"/>
          <w:lang w:val="en-US" w:eastAsia="zh-CN"/>
        </w:rPr>
      </w:pPr>
    </w:p>
    <w:p>
      <w:pPr>
        <w:pStyle w:val="9"/>
        <w:spacing w:before="0" w:beforeAutospacing="0" w:after="0" w:afterAutospacing="0" w:line="600" w:lineRule="exact"/>
        <w:jc w:val="both"/>
        <w:rPr>
          <w:rFonts w:hint="eastAsia" w:ascii="仿宋" w:hAnsi="仿宋" w:eastAsia="仿宋" w:cs="宋体"/>
          <w:b/>
          <w:bCs/>
          <w:color w:val="auto"/>
          <w:sz w:val="32"/>
          <w:szCs w:val="32"/>
          <w:highlight w:val="none"/>
          <w:lang w:val="en-US" w:eastAsia="zh-CN"/>
        </w:rPr>
      </w:pPr>
    </w:p>
    <w:sectPr>
      <w:pgSz w:w="11906" w:h="16838"/>
      <w:pgMar w:top="198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等线">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2MTY5ZmM2YjM4NWQ3OThkYTQ5MzJhYjMzYzgyNDUifQ=="/>
  </w:docVars>
  <w:rsids>
    <w:rsidRoot w:val="00FE7BD8"/>
    <w:rsid w:val="00012E08"/>
    <w:rsid w:val="00014179"/>
    <w:rsid w:val="00050A3F"/>
    <w:rsid w:val="000557CD"/>
    <w:rsid w:val="0006367C"/>
    <w:rsid w:val="00064F1D"/>
    <w:rsid w:val="00080B2C"/>
    <w:rsid w:val="00080B3E"/>
    <w:rsid w:val="000A2A70"/>
    <w:rsid w:val="000B6410"/>
    <w:rsid w:val="000C24E5"/>
    <w:rsid w:val="000D05E4"/>
    <w:rsid w:val="000E4757"/>
    <w:rsid w:val="00102477"/>
    <w:rsid w:val="00112735"/>
    <w:rsid w:val="001759E9"/>
    <w:rsid w:val="001812D3"/>
    <w:rsid w:val="001B1664"/>
    <w:rsid w:val="001B367D"/>
    <w:rsid w:val="001E7F60"/>
    <w:rsid w:val="001F3D37"/>
    <w:rsid w:val="001F4CE7"/>
    <w:rsid w:val="001F79D8"/>
    <w:rsid w:val="00205CDA"/>
    <w:rsid w:val="00217FB0"/>
    <w:rsid w:val="0025239C"/>
    <w:rsid w:val="00282540"/>
    <w:rsid w:val="00283C2F"/>
    <w:rsid w:val="00286123"/>
    <w:rsid w:val="0029208B"/>
    <w:rsid w:val="0029439F"/>
    <w:rsid w:val="002A374B"/>
    <w:rsid w:val="002A4921"/>
    <w:rsid w:val="002B614F"/>
    <w:rsid w:val="002B738E"/>
    <w:rsid w:val="002D2B8E"/>
    <w:rsid w:val="002E3499"/>
    <w:rsid w:val="002F5523"/>
    <w:rsid w:val="00305D7A"/>
    <w:rsid w:val="003142F2"/>
    <w:rsid w:val="0032552C"/>
    <w:rsid w:val="0033635B"/>
    <w:rsid w:val="003549D2"/>
    <w:rsid w:val="0037419C"/>
    <w:rsid w:val="0039496A"/>
    <w:rsid w:val="00396F0B"/>
    <w:rsid w:val="003F0B8E"/>
    <w:rsid w:val="00414B2F"/>
    <w:rsid w:val="0041756E"/>
    <w:rsid w:val="0043213B"/>
    <w:rsid w:val="00432AE7"/>
    <w:rsid w:val="0047108D"/>
    <w:rsid w:val="00481BCE"/>
    <w:rsid w:val="00493C6B"/>
    <w:rsid w:val="00496626"/>
    <w:rsid w:val="004A7EF2"/>
    <w:rsid w:val="004D22FA"/>
    <w:rsid w:val="004F23CB"/>
    <w:rsid w:val="00500837"/>
    <w:rsid w:val="00541407"/>
    <w:rsid w:val="00541E21"/>
    <w:rsid w:val="00551928"/>
    <w:rsid w:val="0055238A"/>
    <w:rsid w:val="005560C8"/>
    <w:rsid w:val="00571DA5"/>
    <w:rsid w:val="005722A8"/>
    <w:rsid w:val="00574F06"/>
    <w:rsid w:val="00584C85"/>
    <w:rsid w:val="00593E43"/>
    <w:rsid w:val="005A064A"/>
    <w:rsid w:val="005A1D2E"/>
    <w:rsid w:val="005A4388"/>
    <w:rsid w:val="005A5120"/>
    <w:rsid w:val="005A696D"/>
    <w:rsid w:val="005B744E"/>
    <w:rsid w:val="005C1B8F"/>
    <w:rsid w:val="005C7205"/>
    <w:rsid w:val="005D4BB8"/>
    <w:rsid w:val="005F5F7D"/>
    <w:rsid w:val="005F7DE5"/>
    <w:rsid w:val="006054AF"/>
    <w:rsid w:val="00605F24"/>
    <w:rsid w:val="00606B33"/>
    <w:rsid w:val="0061527E"/>
    <w:rsid w:val="00617E6B"/>
    <w:rsid w:val="00643CE3"/>
    <w:rsid w:val="00656F0D"/>
    <w:rsid w:val="00670F4C"/>
    <w:rsid w:val="006731E7"/>
    <w:rsid w:val="00674330"/>
    <w:rsid w:val="00676147"/>
    <w:rsid w:val="00681062"/>
    <w:rsid w:val="006976A4"/>
    <w:rsid w:val="006A4BDA"/>
    <w:rsid w:val="006D5013"/>
    <w:rsid w:val="006E2615"/>
    <w:rsid w:val="006F03C2"/>
    <w:rsid w:val="006F6655"/>
    <w:rsid w:val="00702641"/>
    <w:rsid w:val="00734040"/>
    <w:rsid w:val="00747433"/>
    <w:rsid w:val="007651EB"/>
    <w:rsid w:val="00774674"/>
    <w:rsid w:val="007A69FA"/>
    <w:rsid w:val="007B0120"/>
    <w:rsid w:val="007F1C13"/>
    <w:rsid w:val="00810DCF"/>
    <w:rsid w:val="00811381"/>
    <w:rsid w:val="0081654C"/>
    <w:rsid w:val="00816B92"/>
    <w:rsid w:val="008336E3"/>
    <w:rsid w:val="00837F88"/>
    <w:rsid w:val="0088124B"/>
    <w:rsid w:val="00885108"/>
    <w:rsid w:val="008928D0"/>
    <w:rsid w:val="008C7677"/>
    <w:rsid w:val="008E5DF4"/>
    <w:rsid w:val="008F0EA5"/>
    <w:rsid w:val="0091232F"/>
    <w:rsid w:val="00914A36"/>
    <w:rsid w:val="009268C0"/>
    <w:rsid w:val="009875E7"/>
    <w:rsid w:val="009B3C69"/>
    <w:rsid w:val="00A00831"/>
    <w:rsid w:val="00A1089D"/>
    <w:rsid w:val="00A2128B"/>
    <w:rsid w:val="00A23BB9"/>
    <w:rsid w:val="00A26C93"/>
    <w:rsid w:val="00A317A0"/>
    <w:rsid w:val="00A44CA8"/>
    <w:rsid w:val="00A501D1"/>
    <w:rsid w:val="00A51EA6"/>
    <w:rsid w:val="00A96526"/>
    <w:rsid w:val="00AD369C"/>
    <w:rsid w:val="00AD4EFB"/>
    <w:rsid w:val="00AF3A77"/>
    <w:rsid w:val="00AF7159"/>
    <w:rsid w:val="00B035D3"/>
    <w:rsid w:val="00B12765"/>
    <w:rsid w:val="00B2390B"/>
    <w:rsid w:val="00B50EC4"/>
    <w:rsid w:val="00B523BC"/>
    <w:rsid w:val="00B73171"/>
    <w:rsid w:val="00B7462C"/>
    <w:rsid w:val="00B74AB4"/>
    <w:rsid w:val="00B76392"/>
    <w:rsid w:val="00BA77A9"/>
    <w:rsid w:val="00BB47B5"/>
    <w:rsid w:val="00BD1C55"/>
    <w:rsid w:val="00BE2316"/>
    <w:rsid w:val="00BF1490"/>
    <w:rsid w:val="00C037E0"/>
    <w:rsid w:val="00C137DB"/>
    <w:rsid w:val="00C13F7A"/>
    <w:rsid w:val="00C16BA6"/>
    <w:rsid w:val="00C43EDB"/>
    <w:rsid w:val="00C81683"/>
    <w:rsid w:val="00CC6B7E"/>
    <w:rsid w:val="00CD174A"/>
    <w:rsid w:val="00CF7430"/>
    <w:rsid w:val="00D0414C"/>
    <w:rsid w:val="00D4218A"/>
    <w:rsid w:val="00D5474F"/>
    <w:rsid w:val="00D81A12"/>
    <w:rsid w:val="00D90C54"/>
    <w:rsid w:val="00DB06A3"/>
    <w:rsid w:val="00DB476D"/>
    <w:rsid w:val="00DC4F5E"/>
    <w:rsid w:val="00DD59FA"/>
    <w:rsid w:val="00DF17C4"/>
    <w:rsid w:val="00DF3179"/>
    <w:rsid w:val="00DF6485"/>
    <w:rsid w:val="00E02BF8"/>
    <w:rsid w:val="00E1178B"/>
    <w:rsid w:val="00E32E0D"/>
    <w:rsid w:val="00E364E7"/>
    <w:rsid w:val="00E769AD"/>
    <w:rsid w:val="00E804CC"/>
    <w:rsid w:val="00E90EB1"/>
    <w:rsid w:val="00E9424B"/>
    <w:rsid w:val="00E97F26"/>
    <w:rsid w:val="00EB66FA"/>
    <w:rsid w:val="00EC4F2A"/>
    <w:rsid w:val="00EE44A1"/>
    <w:rsid w:val="00F13EA9"/>
    <w:rsid w:val="00F169DB"/>
    <w:rsid w:val="00F244CF"/>
    <w:rsid w:val="00F43E91"/>
    <w:rsid w:val="00F53A31"/>
    <w:rsid w:val="00F61479"/>
    <w:rsid w:val="00F81C2B"/>
    <w:rsid w:val="00FA6D66"/>
    <w:rsid w:val="00FE20DC"/>
    <w:rsid w:val="00FE7BD8"/>
    <w:rsid w:val="00FF1C20"/>
    <w:rsid w:val="00FF4327"/>
    <w:rsid w:val="051955D8"/>
    <w:rsid w:val="09FC3D61"/>
    <w:rsid w:val="0AFFEBC9"/>
    <w:rsid w:val="0B097384"/>
    <w:rsid w:val="0B3C7C36"/>
    <w:rsid w:val="0BEB5519"/>
    <w:rsid w:val="0EA55AF2"/>
    <w:rsid w:val="0ED83E1F"/>
    <w:rsid w:val="0F6FCB22"/>
    <w:rsid w:val="0FDF522C"/>
    <w:rsid w:val="0FFBCA37"/>
    <w:rsid w:val="0FFDC8FB"/>
    <w:rsid w:val="14FC26DE"/>
    <w:rsid w:val="14FD7360"/>
    <w:rsid w:val="1777731D"/>
    <w:rsid w:val="17D757B9"/>
    <w:rsid w:val="1AFE19CC"/>
    <w:rsid w:val="1B7149E1"/>
    <w:rsid w:val="1BF39662"/>
    <w:rsid w:val="1C2206D1"/>
    <w:rsid w:val="1DCD98B0"/>
    <w:rsid w:val="1DE58BCE"/>
    <w:rsid w:val="1DFF0493"/>
    <w:rsid w:val="1DFF378E"/>
    <w:rsid w:val="1E7E5879"/>
    <w:rsid w:val="1F2E5670"/>
    <w:rsid w:val="1FDEE913"/>
    <w:rsid w:val="1FDF4484"/>
    <w:rsid w:val="1FFAA4D8"/>
    <w:rsid w:val="1FFB218B"/>
    <w:rsid w:val="1FFE71E0"/>
    <w:rsid w:val="1FFEAB55"/>
    <w:rsid w:val="1FFF533B"/>
    <w:rsid w:val="2BF4F766"/>
    <w:rsid w:val="2D958157"/>
    <w:rsid w:val="2DF7F9E7"/>
    <w:rsid w:val="2EF33381"/>
    <w:rsid w:val="2FCDF40B"/>
    <w:rsid w:val="2FDF6AE6"/>
    <w:rsid w:val="2FFDDA81"/>
    <w:rsid w:val="2FFF172D"/>
    <w:rsid w:val="33F3790F"/>
    <w:rsid w:val="344385A7"/>
    <w:rsid w:val="35997033"/>
    <w:rsid w:val="35F5D21A"/>
    <w:rsid w:val="35FF43D3"/>
    <w:rsid w:val="368662C3"/>
    <w:rsid w:val="36BA0354"/>
    <w:rsid w:val="37DF2C9E"/>
    <w:rsid w:val="39AEC7BE"/>
    <w:rsid w:val="39EDB1BC"/>
    <w:rsid w:val="39FF8328"/>
    <w:rsid w:val="3A7DF6B2"/>
    <w:rsid w:val="3B2F07A3"/>
    <w:rsid w:val="3B97F71F"/>
    <w:rsid w:val="3BBD2BAE"/>
    <w:rsid w:val="3BFAA0FF"/>
    <w:rsid w:val="3CD7A958"/>
    <w:rsid w:val="3D3B12F2"/>
    <w:rsid w:val="3D4D83E2"/>
    <w:rsid w:val="3DD96A2B"/>
    <w:rsid w:val="3DFDDF9F"/>
    <w:rsid w:val="3E3F6395"/>
    <w:rsid w:val="3EEF18A1"/>
    <w:rsid w:val="3EFF3AD4"/>
    <w:rsid w:val="3EFF3CBB"/>
    <w:rsid w:val="3F1B58CF"/>
    <w:rsid w:val="3F7354D2"/>
    <w:rsid w:val="3F7F41D7"/>
    <w:rsid w:val="3FBBB2AE"/>
    <w:rsid w:val="3FBEAC26"/>
    <w:rsid w:val="3FC8B6B5"/>
    <w:rsid w:val="3FEDA3AC"/>
    <w:rsid w:val="3FFB3AC6"/>
    <w:rsid w:val="43B28467"/>
    <w:rsid w:val="44F70C37"/>
    <w:rsid w:val="451BDDDA"/>
    <w:rsid w:val="46FF0739"/>
    <w:rsid w:val="4A3E12FD"/>
    <w:rsid w:val="4CBFF6E8"/>
    <w:rsid w:val="4CCE3734"/>
    <w:rsid w:val="4CE64688"/>
    <w:rsid w:val="4DFF54FE"/>
    <w:rsid w:val="4EBF3BFA"/>
    <w:rsid w:val="4FE33AB2"/>
    <w:rsid w:val="4FFFBB22"/>
    <w:rsid w:val="55FFBB63"/>
    <w:rsid w:val="57F64455"/>
    <w:rsid w:val="58178E88"/>
    <w:rsid w:val="5B7ABC6B"/>
    <w:rsid w:val="5BB7DA8C"/>
    <w:rsid w:val="5BBD940A"/>
    <w:rsid w:val="5CD47B93"/>
    <w:rsid w:val="5CF9878E"/>
    <w:rsid w:val="5D9201F3"/>
    <w:rsid w:val="5DDE4760"/>
    <w:rsid w:val="5DF3AB4C"/>
    <w:rsid w:val="5DF95629"/>
    <w:rsid w:val="5E827B7B"/>
    <w:rsid w:val="5E9FBE70"/>
    <w:rsid w:val="5EF54852"/>
    <w:rsid w:val="5F4DE505"/>
    <w:rsid w:val="5F5B32DD"/>
    <w:rsid w:val="5F9063FE"/>
    <w:rsid w:val="5FDCE960"/>
    <w:rsid w:val="5FFC34BF"/>
    <w:rsid w:val="5FFD5F10"/>
    <w:rsid w:val="5FFF7E05"/>
    <w:rsid w:val="61E7EF69"/>
    <w:rsid w:val="62B71FE8"/>
    <w:rsid w:val="637A4BED"/>
    <w:rsid w:val="637B1556"/>
    <w:rsid w:val="637E3D2B"/>
    <w:rsid w:val="643D1A20"/>
    <w:rsid w:val="659FDA08"/>
    <w:rsid w:val="65B5753E"/>
    <w:rsid w:val="66C700F9"/>
    <w:rsid w:val="66CC3A79"/>
    <w:rsid w:val="675333B1"/>
    <w:rsid w:val="67A2D44C"/>
    <w:rsid w:val="67EE5643"/>
    <w:rsid w:val="67FF9B40"/>
    <w:rsid w:val="684E363B"/>
    <w:rsid w:val="69DF6513"/>
    <w:rsid w:val="69E83608"/>
    <w:rsid w:val="6B75D054"/>
    <w:rsid w:val="6B9B590B"/>
    <w:rsid w:val="6CAF6CFA"/>
    <w:rsid w:val="6CBF0C16"/>
    <w:rsid w:val="6CFEC43B"/>
    <w:rsid w:val="6E37F2A4"/>
    <w:rsid w:val="6E6524D0"/>
    <w:rsid w:val="6EDBA8C3"/>
    <w:rsid w:val="6EF163D8"/>
    <w:rsid w:val="6EF64721"/>
    <w:rsid w:val="6EFFB93E"/>
    <w:rsid w:val="6F2D27C3"/>
    <w:rsid w:val="6F5E1581"/>
    <w:rsid w:val="6F839E47"/>
    <w:rsid w:val="6FBF7BDC"/>
    <w:rsid w:val="6FC726CF"/>
    <w:rsid w:val="6FCCD0BF"/>
    <w:rsid w:val="6FD11658"/>
    <w:rsid w:val="6FD9CD2C"/>
    <w:rsid w:val="6FDEFE26"/>
    <w:rsid w:val="6FDF1494"/>
    <w:rsid w:val="6FEF2D45"/>
    <w:rsid w:val="6FEF32CE"/>
    <w:rsid w:val="6FEFEB39"/>
    <w:rsid w:val="6FFF8A6A"/>
    <w:rsid w:val="6FFFB51C"/>
    <w:rsid w:val="70CE7FCD"/>
    <w:rsid w:val="71CF08A7"/>
    <w:rsid w:val="71FF003E"/>
    <w:rsid w:val="72A9B67E"/>
    <w:rsid w:val="73952149"/>
    <w:rsid w:val="73FF7A41"/>
    <w:rsid w:val="743B8D05"/>
    <w:rsid w:val="74FFC199"/>
    <w:rsid w:val="757573E2"/>
    <w:rsid w:val="757770F9"/>
    <w:rsid w:val="75AF26B0"/>
    <w:rsid w:val="75BA760C"/>
    <w:rsid w:val="75BEB56C"/>
    <w:rsid w:val="75D75FEE"/>
    <w:rsid w:val="75F7A074"/>
    <w:rsid w:val="766706E0"/>
    <w:rsid w:val="767751B1"/>
    <w:rsid w:val="7686A44C"/>
    <w:rsid w:val="76F7053A"/>
    <w:rsid w:val="773BB497"/>
    <w:rsid w:val="7749CA7E"/>
    <w:rsid w:val="77BF3045"/>
    <w:rsid w:val="77BF752F"/>
    <w:rsid w:val="77BFA688"/>
    <w:rsid w:val="77CF547E"/>
    <w:rsid w:val="77CF6511"/>
    <w:rsid w:val="77EE3494"/>
    <w:rsid w:val="77F7BBFE"/>
    <w:rsid w:val="77F9E389"/>
    <w:rsid w:val="77FF28CA"/>
    <w:rsid w:val="77FF902E"/>
    <w:rsid w:val="78FE481A"/>
    <w:rsid w:val="792D6991"/>
    <w:rsid w:val="797D7273"/>
    <w:rsid w:val="79FD2235"/>
    <w:rsid w:val="7A0A1D90"/>
    <w:rsid w:val="7A5768F1"/>
    <w:rsid w:val="7A57BBEF"/>
    <w:rsid w:val="7A77EF78"/>
    <w:rsid w:val="7A7F674E"/>
    <w:rsid w:val="7AD02B11"/>
    <w:rsid w:val="7B7F9DA3"/>
    <w:rsid w:val="7B86DB11"/>
    <w:rsid w:val="7BA7686E"/>
    <w:rsid w:val="7BB7414F"/>
    <w:rsid w:val="7BF2C0E8"/>
    <w:rsid w:val="7BFE0A0C"/>
    <w:rsid w:val="7BFEFC10"/>
    <w:rsid w:val="7BFF12BE"/>
    <w:rsid w:val="7BFF1860"/>
    <w:rsid w:val="7C33E493"/>
    <w:rsid w:val="7C378741"/>
    <w:rsid w:val="7C74861F"/>
    <w:rsid w:val="7CFDE8FA"/>
    <w:rsid w:val="7D598EBB"/>
    <w:rsid w:val="7D7F2E29"/>
    <w:rsid w:val="7DBDCBA9"/>
    <w:rsid w:val="7DBE73A5"/>
    <w:rsid w:val="7DE5C7C3"/>
    <w:rsid w:val="7DFDD44C"/>
    <w:rsid w:val="7DFE0908"/>
    <w:rsid w:val="7DFFCA58"/>
    <w:rsid w:val="7E57815E"/>
    <w:rsid w:val="7E7DB27E"/>
    <w:rsid w:val="7E7F94B8"/>
    <w:rsid w:val="7E7FB764"/>
    <w:rsid w:val="7EB5B454"/>
    <w:rsid w:val="7EED2D5F"/>
    <w:rsid w:val="7EFED95D"/>
    <w:rsid w:val="7F039D45"/>
    <w:rsid w:val="7F1EB18A"/>
    <w:rsid w:val="7F2AEE3E"/>
    <w:rsid w:val="7F3C8453"/>
    <w:rsid w:val="7F5F50AE"/>
    <w:rsid w:val="7F5F56D4"/>
    <w:rsid w:val="7F5F8C90"/>
    <w:rsid w:val="7F6E7B3E"/>
    <w:rsid w:val="7F7D58EC"/>
    <w:rsid w:val="7F7EF53C"/>
    <w:rsid w:val="7FABB0AD"/>
    <w:rsid w:val="7FB172ED"/>
    <w:rsid w:val="7FB51BA9"/>
    <w:rsid w:val="7FBF99E7"/>
    <w:rsid w:val="7FD61B6A"/>
    <w:rsid w:val="7FD73D68"/>
    <w:rsid w:val="7FD858D7"/>
    <w:rsid w:val="7FDB124B"/>
    <w:rsid w:val="7FDD3623"/>
    <w:rsid w:val="7FDF13B5"/>
    <w:rsid w:val="7FE91BAB"/>
    <w:rsid w:val="7FEBFB81"/>
    <w:rsid w:val="7FEE31D1"/>
    <w:rsid w:val="7FEF19DF"/>
    <w:rsid w:val="7FF51747"/>
    <w:rsid w:val="7FF65C01"/>
    <w:rsid w:val="7FF74A89"/>
    <w:rsid w:val="7FF74F38"/>
    <w:rsid w:val="7FF7C7E5"/>
    <w:rsid w:val="7FFD1DFD"/>
    <w:rsid w:val="7FFD8544"/>
    <w:rsid w:val="7FFEF1E5"/>
    <w:rsid w:val="7FFF27BD"/>
    <w:rsid w:val="7FFF63A9"/>
    <w:rsid w:val="8BBFF79E"/>
    <w:rsid w:val="8D5EC8D2"/>
    <w:rsid w:val="8E765156"/>
    <w:rsid w:val="8FBC4178"/>
    <w:rsid w:val="973FB9D8"/>
    <w:rsid w:val="976FFD36"/>
    <w:rsid w:val="97AEDE20"/>
    <w:rsid w:val="97EF8194"/>
    <w:rsid w:val="9CFCE2DE"/>
    <w:rsid w:val="9D4B5CFF"/>
    <w:rsid w:val="9E4E44D6"/>
    <w:rsid w:val="9E7B7608"/>
    <w:rsid w:val="9EBF1E42"/>
    <w:rsid w:val="9FDBBCD8"/>
    <w:rsid w:val="A57B6E5A"/>
    <w:rsid w:val="A5B9DFA5"/>
    <w:rsid w:val="A777757C"/>
    <w:rsid w:val="A7F7CF7B"/>
    <w:rsid w:val="A9EDFF41"/>
    <w:rsid w:val="ADFB425B"/>
    <w:rsid w:val="AF5D9213"/>
    <w:rsid w:val="AFBE3A57"/>
    <w:rsid w:val="AFFAD364"/>
    <w:rsid w:val="AFFFDBFF"/>
    <w:rsid w:val="B33FB105"/>
    <w:rsid w:val="B3E6B38C"/>
    <w:rsid w:val="B55D8B36"/>
    <w:rsid w:val="B6553665"/>
    <w:rsid w:val="B66EC39D"/>
    <w:rsid w:val="B69DB7BA"/>
    <w:rsid w:val="B7AFB50E"/>
    <w:rsid w:val="B9BF72A2"/>
    <w:rsid w:val="BA7B23C6"/>
    <w:rsid w:val="BB65F374"/>
    <w:rsid w:val="BB6B4BBB"/>
    <w:rsid w:val="BB743919"/>
    <w:rsid w:val="BB7A397B"/>
    <w:rsid w:val="BBF9FED1"/>
    <w:rsid w:val="BDBFEB91"/>
    <w:rsid w:val="BDE81EBD"/>
    <w:rsid w:val="BDFF32F3"/>
    <w:rsid w:val="BE32256E"/>
    <w:rsid w:val="BE7D8D51"/>
    <w:rsid w:val="BEDA87CD"/>
    <w:rsid w:val="BF23F7F7"/>
    <w:rsid w:val="BFA8B9D9"/>
    <w:rsid w:val="BFBFBFF3"/>
    <w:rsid w:val="BFC7DDFB"/>
    <w:rsid w:val="BFCBAB87"/>
    <w:rsid w:val="BFCE2EB4"/>
    <w:rsid w:val="BFEB8806"/>
    <w:rsid w:val="BFF76096"/>
    <w:rsid w:val="BFFB589F"/>
    <w:rsid w:val="BFFF0F03"/>
    <w:rsid w:val="BFFF30A4"/>
    <w:rsid w:val="C0FE86FF"/>
    <w:rsid w:val="C4FEC388"/>
    <w:rsid w:val="CAFF6FEE"/>
    <w:rsid w:val="CBFB7640"/>
    <w:rsid w:val="CDAF6CCC"/>
    <w:rsid w:val="CEBE88E8"/>
    <w:rsid w:val="CEEAABE7"/>
    <w:rsid w:val="CEFFCDD9"/>
    <w:rsid w:val="CF2DB4E4"/>
    <w:rsid w:val="CF7AFBE0"/>
    <w:rsid w:val="CFED525C"/>
    <w:rsid w:val="CFFB128B"/>
    <w:rsid w:val="CFFFDE2E"/>
    <w:rsid w:val="D3EFA7D3"/>
    <w:rsid w:val="D5D7865F"/>
    <w:rsid w:val="D6FF2960"/>
    <w:rsid w:val="D78F2818"/>
    <w:rsid w:val="D7CF4EBE"/>
    <w:rsid w:val="D7DAE562"/>
    <w:rsid w:val="D7F61A29"/>
    <w:rsid w:val="D99C176F"/>
    <w:rsid w:val="D9B97F43"/>
    <w:rsid w:val="D9C9F7D0"/>
    <w:rsid w:val="DB67317B"/>
    <w:rsid w:val="DBC7E883"/>
    <w:rsid w:val="DBFED613"/>
    <w:rsid w:val="DCEA72E7"/>
    <w:rsid w:val="DCEFB062"/>
    <w:rsid w:val="DE7916A9"/>
    <w:rsid w:val="DEF878A3"/>
    <w:rsid w:val="DEFB13AE"/>
    <w:rsid w:val="DF87A260"/>
    <w:rsid w:val="DF8D9133"/>
    <w:rsid w:val="DF9B1993"/>
    <w:rsid w:val="DFCFA470"/>
    <w:rsid w:val="DFD69E1B"/>
    <w:rsid w:val="DFEF26DD"/>
    <w:rsid w:val="DFEF80A0"/>
    <w:rsid w:val="DFFB7BBF"/>
    <w:rsid w:val="DFFD5A46"/>
    <w:rsid w:val="E0D3A74D"/>
    <w:rsid w:val="E3F6845A"/>
    <w:rsid w:val="E5BDE87D"/>
    <w:rsid w:val="E5D79E80"/>
    <w:rsid w:val="E75F7630"/>
    <w:rsid w:val="E79FB77C"/>
    <w:rsid w:val="E7BE6541"/>
    <w:rsid w:val="E8D6B15E"/>
    <w:rsid w:val="EAE7B5F8"/>
    <w:rsid w:val="EB0E67B6"/>
    <w:rsid w:val="EBEB3BB1"/>
    <w:rsid w:val="EBFC22AF"/>
    <w:rsid w:val="EBFED6B4"/>
    <w:rsid w:val="EBFF4CFB"/>
    <w:rsid w:val="ED772938"/>
    <w:rsid w:val="EDF6854D"/>
    <w:rsid w:val="EE2FE8CD"/>
    <w:rsid w:val="EEF27771"/>
    <w:rsid w:val="EF693942"/>
    <w:rsid w:val="EF7A1FDE"/>
    <w:rsid w:val="EF7F0656"/>
    <w:rsid w:val="EFBB194E"/>
    <w:rsid w:val="EFD52077"/>
    <w:rsid w:val="EFF19E4A"/>
    <w:rsid w:val="EFF7D16A"/>
    <w:rsid w:val="EFF9C6F1"/>
    <w:rsid w:val="EFFBA2FA"/>
    <w:rsid w:val="F135672F"/>
    <w:rsid w:val="F1FD1773"/>
    <w:rsid w:val="F2EA0E41"/>
    <w:rsid w:val="F3AE7A17"/>
    <w:rsid w:val="F3D8F32A"/>
    <w:rsid w:val="F4A78B39"/>
    <w:rsid w:val="F4FE5C48"/>
    <w:rsid w:val="F5CFDEBF"/>
    <w:rsid w:val="F5D62CA9"/>
    <w:rsid w:val="F5FE3938"/>
    <w:rsid w:val="F5FF8DDD"/>
    <w:rsid w:val="F6D32C7E"/>
    <w:rsid w:val="F6DFAA40"/>
    <w:rsid w:val="F6FB7E2E"/>
    <w:rsid w:val="F75B1D59"/>
    <w:rsid w:val="F75E2782"/>
    <w:rsid w:val="F76BA752"/>
    <w:rsid w:val="F777263D"/>
    <w:rsid w:val="F77BA9A1"/>
    <w:rsid w:val="F79D62E2"/>
    <w:rsid w:val="F7AFE264"/>
    <w:rsid w:val="F7B394CA"/>
    <w:rsid w:val="F7B3C341"/>
    <w:rsid w:val="F7D6C5E0"/>
    <w:rsid w:val="F7EF81B9"/>
    <w:rsid w:val="F92E96C9"/>
    <w:rsid w:val="FA5ABE40"/>
    <w:rsid w:val="FB170E60"/>
    <w:rsid w:val="FB5FCE93"/>
    <w:rsid w:val="FB6D08ED"/>
    <w:rsid w:val="FB6F6B96"/>
    <w:rsid w:val="FB7F309F"/>
    <w:rsid w:val="FB9C1B76"/>
    <w:rsid w:val="FBC7B53F"/>
    <w:rsid w:val="FBDF9D5D"/>
    <w:rsid w:val="FBFD85CE"/>
    <w:rsid w:val="FBFF15E3"/>
    <w:rsid w:val="FC5FDC25"/>
    <w:rsid w:val="FCBF91E2"/>
    <w:rsid w:val="FCEF8B9F"/>
    <w:rsid w:val="FCFF8997"/>
    <w:rsid w:val="FD1728F8"/>
    <w:rsid w:val="FD3D32EE"/>
    <w:rsid w:val="FDDB1E84"/>
    <w:rsid w:val="FDEA3898"/>
    <w:rsid w:val="FDF281CD"/>
    <w:rsid w:val="FDF74162"/>
    <w:rsid w:val="FDFEFCB8"/>
    <w:rsid w:val="FDFF2AE3"/>
    <w:rsid w:val="FDFF4235"/>
    <w:rsid w:val="FDFF7014"/>
    <w:rsid w:val="FDFFBF4F"/>
    <w:rsid w:val="FE734873"/>
    <w:rsid w:val="FE7DA01D"/>
    <w:rsid w:val="FEB310DD"/>
    <w:rsid w:val="FEE5DEE2"/>
    <w:rsid w:val="FEEFF7CA"/>
    <w:rsid w:val="FEF674C9"/>
    <w:rsid w:val="FEF73381"/>
    <w:rsid w:val="FEFC3FD9"/>
    <w:rsid w:val="FF267E7C"/>
    <w:rsid w:val="FF6E67CA"/>
    <w:rsid w:val="FF7B50EB"/>
    <w:rsid w:val="FF7BD932"/>
    <w:rsid w:val="FF7D14B3"/>
    <w:rsid w:val="FF7D52B5"/>
    <w:rsid w:val="FF92937A"/>
    <w:rsid w:val="FF9BCEF5"/>
    <w:rsid w:val="FF9FFECC"/>
    <w:rsid w:val="FFAFDD51"/>
    <w:rsid w:val="FFC77DA9"/>
    <w:rsid w:val="FFD506FA"/>
    <w:rsid w:val="FFDF4064"/>
    <w:rsid w:val="FFEA086A"/>
    <w:rsid w:val="FFFD057F"/>
    <w:rsid w:val="FFFEC7CE"/>
    <w:rsid w:val="FFFF210C"/>
    <w:rsid w:val="FFFF27A4"/>
    <w:rsid w:val="FFFF6AED"/>
    <w:rsid w:val="FFFF79BF"/>
    <w:rsid w:val="FFFFAE41"/>
    <w:rsid w:val="FFFFBED1"/>
    <w:rsid w:val="FFFFD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ody Text Indent"/>
    <w:basedOn w:val="1"/>
    <w:next w:val="5"/>
    <w:qFormat/>
    <w:uiPriority w:val="0"/>
    <w:pPr>
      <w:ind w:left="200" w:leftChars="200"/>
    </w:pPr>
  </w:style>
  <w:style w:type="paragraph" w:styleId="5">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8"/>
    <w:qFormat/>
    <w:uiPriority w:val="99"/>
    <w:rPr>
      <w:sz w:val="18"/>
      <w:szCs w:val="18"/>
    </w:rPr>
  </w:style>
  <w:style w:type="character" w:customStyle="1" w:styleId="16">
    <w:name w:val="页脚 字符"/>
    <w:basedOn w:val="11"/>
    <w:link w:val="7"/>
    <w:qFormat/>
    <w:uiPriority w:val="99"/>
    <w:rPr>
      <w:sz w:val="18"/>
      <w:szCs w:val="18"/>
    </w:rPr>
  </w:style>
  <w:style w:type="character" w:customStyle="1" w:styleId="17">
    <w:name w:val="标题 1 字符"/>
    <w:basedOn w:val="11"/>
    <w:link w:val="2"/>
    <w:qFormat/>
    <w:uiPriority w:val="9"/>
    <w:rPr>
      <w:rFonts w:ascii="宋体" w:hAnsi="宋体" w:eastAsia="宋体" w:cs="宋体"/>
      <w:b/>
      <w:bCs/>
      <w:kern w:val="36"/>
      <w:sz w:val="48"/>
      <w:szCs w:val="48"/>
    </w:rPr>
  </w:style>
  <w:style w:type="character" w:customStyle="1" w:styleId="18">
    <w:name w:val="批注框文本 字符"/>
    <w:basedOn w:val="11"/>
    <w:link w:val="6"/>
    <w:semiHidden/>
    <w:qFormat/>
    <w:uiPriority w:val="99"/>
    <w:rPr>
      <w:sz w:val="18"/>
      <w:szCs w:val="18"/>
    </w:rPr>
  </w:style>
  <w:style w:type="character" w:customStyle="1" w:styleId="19">
    <w:name w:val="批注文字 字符"/>
    <w:basedOn w:val="11"/>
    <w:link w:val="3"/>
    <w:semiHidden/>
    <w:qFormat/>
    <w:uiPriority w:val="99"/>
  </w:style>
  <w:style w:type="paragraph" w:customStyle="1" w:styleId="20">
    <w:name w:val="contentfo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10175</Words>
  <Characters>10414</Characters>
  <Lines>71</Lines>
  <Paragraphs>20</Paragraphs>
  <TotalTime>32</TotalTime>
  <ScaleCrop>false</ScaleCrop>
  <LinksUpToDate>false</LinksUpToDate>
  <CharactersWithSpaces>10485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2021-05-24T18:18:00Z</dcterms:created>
  <dc:creator>辰昕</dc:creator>
  <cp:lastModifiedBy>呼和浩特市工业和信息化局</cp:lastModifiedBy>
  <cp:lastPrinted>2023-05-09T02:23:00Z</cp:lastPrinted>
  <dcterms:modified xsi:type="dcterms:W3CDTF">2023-05-10T17:09:03Z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7C549395AD5F468B8AC1E496B11CBD25</vt:lpwstr>
  </property>
</Properties>
</file>